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95F2" w14:textId="77777777" w:rsidR="000911EF" w:rsidRPr="00D7226C" w:rsidRDefault="007026D6" w:rsidP="006471E6">
      <w:pPr>
        <w:pStyle w:val="Title"/>
        <w:rPr>
          <w:lang w:val="en-GB"/>
        </w:rPr>
      </w:pPr>
      <w:r w:rsidRPr="00D7226C">
        <w:rPr>
          <w:lang w:val="en-GB"/>
        </w:rPr>
        <w:t>CO-MICC Data Portal: known issues</w:t>
      </w:r>
    </w:p>
    <w:p w14:paraId="5C893503" w14:textId="00AA4FD1" w:rsidR="000911EF" w:rsidRDefault="000911EF" w:rsidP="006471E6">
      <w:pPr>
        <w:spacing w:after="0" w:line="240" w:lineRule="auto"/>
        <w:rPr>
          <w:lang w:val="en-GB"/>
        </w:rPr>
      </w:pPr>
    </w:p>
    <w:p w14:paraId="20C4C84A" w14:textId="77777777" w:rsidR="00D530F9" w:rsidRPr="00D7226C" w:rsidRDefault="00D530F9" w:rsidP="006471E6">
      <w:pPr>
        <w:spacing w:after="0" w:line="240" w:lineRule="auto"/>
        <w:rPr>
          <w:lang w:val="en-GB"/>
        </w:rPr>
      </w:pPr>
    </w:p>
    <w:p w14:paraId="16C3949A" w14:textId="50AD291E" w:rsidR="000911EF" w:rsidRDefault="007026D6" w:rsidP="006471E6">
      <w:pPr>
        <w:spacing w:after="0" w:line="240" w:lineRule="auto"/>
        <w:rPr>
          <w:i/>
          <w:lang w:val="en-GB"/>
        </w:rPr>
      </w:pPr>
      <w:r w:rsidRPr="00D7226C">
        <w:rPr>
          <w:i/>
          <w:lang w:val="en-GB"/>
        </w:rPr>
        <w:t>Last update on 01.12.2021.</w:t>
      </w:r>
    </w:p>
    <w:p w14:paraId="1E0F368C" w14:textId="77777777" w:rsidR="006471E6" w:rsidRPr="006471E6" w:rsidRDefault="006471E6" w:rsidP="006471E6">
      <w:pPr>
        <w:spacing w:after="0" w:line="240" w:lineRule="auto"/>
        <w:rPr>
          <w:iCs/>
          <w:lang w:val="en-GB"/>
        </w:rPr>
      </w:pPr>
    </w:p>
    <w:p w14:paraId="6828899F" w14:textId="7A6EA52B" w:rsidR="000911EF" w:rsidRPr="00D7226C" w:rsidRDefault="007026D6" w:rsidP="006471E6">
      <w:pPr>
        <w:pStyle w:val="Heading1"/>
        <w:numPr>
          <w:ilvl w:val="0"/>
          <w:numId w:val="11"/>
        </w:numPr>
        <w:spacing w:before="0" w:line="240" w:lineRule="auto"/>
        <w:rPr>
          <w:lang w:val="en-GB"/>
        </w:rPr>
      </w:pPr>
      <w:r w:rsidRPr="00D7226C">
        <w:rPr>
          <w:lang w:val="en-GB"/>
        </w:rPr>
        <w:t>Foreword</w:t>
      </w:r>
    </w:p>
    <w:p w14:paraId="76348302" w14:textId="77777777" w:rsidR="000911EF" w:rsidRPr="00D7226C" w:rsidRDefault="000911EF" w:rsidP="006471E6">
      <w:pPr>
        <w:spacing w:after="0" w:line="240" w:lineRule="auto"/>
        <w:rPr>
          <w:lang w:val="en-GB"/>
        </w:rPr>
      </w:pPr>
    </w:p>
    <w:p w14:paraId="5792D34B" w14:textId="02DA91F4" w:rsidR="000911EF" w:rsidRDefault="007026D6" w:rsidP="006471E6">
      <w:pPr>
        <w:spacing w:after="0" w:line="240" w:lineRule="auto"/>
        <w:rPr>
          <w:lang w:val="en-GB"/>
        </w:rPr>
      </w:pPr>
      <w:r w:rsidRPr="00D7226C">
        <w:rPr>
          <w:lang w:val="en-GB"/>
        </w:rPr>
        <w:t xml:space="preserve">The CO-MICC Data Portal is a pilot portal, which means that it is still under development. This document compiles the list of known issues </w:t>
      </w:r>
      <w:r w:rsidR="00827FB0">
        <w:rPr>
          <w:lang w:val="en-GB"/>
        </w:rPr>
        <w:t>related to</w:t>
      </w:r>
      <w:r w:rsidRPr="00D7226C">
        <w:rPr>
          <w:lang w:val="en-GB"/>
        </w:rPr>
        <w:t xml:space="preserve"> the portal. The issues are ordered into </w:t>
      </w:r>
      <w:r w:rsidR="002D60C1">
        <w:rPr>
          <w:lang w:val="en-GB"/>
        </w:rPr>
        <w:t>three</w:t>
      </w:r>
      <w:r w:rsidRPr="00D7226C">
        <w:rPr>
          <w:lang w:val="en-GB"/>
        </w:rPr>
        <w:t xml:space="preserve"> categories: </w:t>
      </w:r>
    </w:p>
    <w:p w14:paraId="41A15BE5" w14:textId="77777777" w:rsidR="00B01F8B" w:rsidRPr="00D7226C" w:rsidRDefault="00B01F8B" w:rsidP="006471E6">
      <w:pPr>
        <w:spacing w:after="0" w:line="240" w:lineRule="auto"/>
        <w:rPr>
          <w:lang w:val="en-GB"/>
        </w:rPr>
      </w:pPr>
    </w:p>
    <w:p w14:paraId="36C0CFEB" w14:textId="4081064E" w:rsidR="000911EF" w:rsidRPr="00D7226C" w:rsidRDefault="007026D6" w:rsidP="006471E6">
      <w:pPr>
        <w:pStyle w:val="ListParagraph"/>
        <w:numPr>
          <w:ilvl w:val="0"/>
          <w:numId w:val="1"/>
        </w:numPr>
        <w:spacing w:after="0" w:line="240" w:lineRule="auto"/>
        <w:rPr>
          <w:lang w:val="en-GB"/>
        </w:rPr>
      </w:pPr>
      <w:r w:rsidRPr="00DF5FD0">
        <w:rPr>
          <w:b/>
          <w:bCs/>
          <w:lang w:val="en-GB"/>
        </w:rPr>
        <w:t>Model output data</w:t>
      </w:r>
      <w:r w:rsidRPr="00DF5FD0">
        <w:rPr>
          <w:b/>
          <w:bCs/>
          <w:lang w:val="en-GB"/>
        </w:rPr>
        <w:t>:</w:t>
      </w:r>
      <w:r w:rsidRPr="00D7226C">
        <w:rPr>
          <w:lang w:val="en-GB"/>
        </w:rPr>
        <w:t xml:space="preserve"> this category comprises t</w:t>
      </w:r>
      <w:r w:rsidRPr="00D7226C">
        <w:rPr>
          <w:lang w:val="en-GB"/>
        </w:rPr>
        <w:t xml:space="preserve">he issues </w:t>
      </w:r>
      <w:r w:rsidR="00DA6533">
        <w:rPr>
          <w:lang w:val="en-GB"/>
        </w:rPr>
        <w:t>related</w:t>
      </w:r>
      <w:r w:rsidRPr="00D7226C">
        <w:rPr>
          <w:lang w:val="en-GB"/>
        </w:rPr>
        <w:t xml:space="preserve"> to the data sets computed with the global hydrological models (4 RCPs</w:t>
      </w:r>
      <w:r w:rsidRPr="00D7226C">
        <w:rPr>
          <w:vertAlign w:val="superscript"/>
          <w:lang w:val="en-GB"/>
        </w:rPr>
        <w:t>1</w:t>
      </w:r>
      <w:r w:rsidRPr="00D7226C">
        <w:rPr>
          <w:lang w:val="en-GB"/>
        </w:rPr>
        <w:t xml:space="preserve"> x 4 GCMs</w:t>
      </w:r>
      <w:r w:rsidRPr="00D7226C">
        <w:rPr>
          <w:vertAlign w:val="superscript"/>
          <w:lang w:val="en-GB"/>
        </w:rPr>
        <w:t>2</w:t>
      </w:r>
      <w:r w:rsidRPr="00D7226C">
        <w:rPr>
          <w:lang w:val="en-GB"/>
        </w:rPr>
        <w:t xml:space="preserve"> x 3 GHMs</w:t>
      </w:r>
      <w:r w:rsidRPr="00D7226C">
        <w:rPr>
          <w:vertAlign w:val="superscript"/>
          <w:lang w:val="en-GB"/>
        </w:rPr>
        <w:t>3</w:t>
      </w:r>
      <w:r w:rsidRPr="00D7226C">
        <w:rPr>
          <w:lang w:val="en-GB"/>
        </w:rPr>
        <w:t xml:space="preserve"> x 2 GHM variants = 96 data sets in total)</w:t>
      </w:r>
      <w:r w:rsidR="00DA6533">
        <w:rPr>
          <w:lang w:val="en-GB"/>
        </w:rPr>
        <w:t xml:space="preserve">, which are used to compute </w:t>
      </w:r>
      <w:r w:rsidR="00FF75FB">
        <w:rPr>
          <w:lang w:val="en-GB"/>
        </w:rPr>
        <w:t xml:space="preserve">the </w:t>
      </w:r>
      <w:r w:rsidR="00DA6533">
        <w:rPr>
          <w:lang w:val="en-GB"/>
        </w:rPr>
        <w:t>freshwater-related indicators</w:t>
      </w:r>
      <w:r w:rsidR="00FF75FB">
        <w:rPr>
          <w:lang w:val="en-GB"/>
        </w:rPr>
        <w:t xml:space="preserve"> available in the portal</w:t>
      </w:r>
      <w:r w:rsidRPr="00D7226C">
        <w:rPr>
          <w:lang w:val="en-GB"/>
        </w:rPr>
        <w:t>.</w:t>
      </w:r>
    </w:p>
    <w:p w14:paraId="1DF544E3" w14:textId="3E80F58D" w:rsidR="000911EF" w:rsidRPr="00DF5FD0" w:rsidRDefault="007026D6" w:rsidP="006471E6">
      <w:pPr>
        <w:pStyle w:val="ListParagraph"/>
        <w:numPr>
          <w:ilvl w:val="0"/>
          <w:numId w:val="1"/>
        </w:numPr>
        <w:spacing w:after="0" w:line="240" w:lineRule="auto"/>
        <w:rPr>
          <w:lang w:val="en-GB"/>
        </w:rPr>
      </w:pPr>
      <w:r w:rsidRPr="00DF5FD0">
        <w:rPr>
          <w:b/>
          <w:bCs/>
          <w:lang w:val="en-GB"/>
        </w:rPr>
        <w:t>Calculation and availability of indicators</w:t>
      </w:r>
      <w:r w:rsidRPr="00DF5FD0">
        <w:rPr>
          <w:b/>
          <w:bCs/>
          <w:lang w:val="en-GB"/>
        </w:rPr>
        <w:t>:</w:t>
      </w:r>
      <w:r w:rsidRPr="00D7226C">
        <w:rPr>
          <w:lang w:val="en-GB"/>
        </w:rPr>
        <w:t xml:space="preserve"> this category groups the issues </w:t>
      </w:r>
      <w:r w:rsidR="00153F48">
        <w:rPr>
          <w:lang w:val="en-GB"/>
        </w:rPr>
        <w:t>related</w:t>
      </w:r>
      <w:r w:rsidRPr="00D7226C">
        <w:rPr>
          <w:lang w:val="en-GB"/>
        </w:rPr>
        <w:t xml:space="preserve"> to the </w:t>
      </w:r>
      <w:r w:rsidR="001834C3">
        <w:rPr>
          <w:lang w:val="en-GB"/>
        </w:rPr>
        <w:t>indicator calculation</w:t>
      </w:r>
      <w:r w:rsidRPr="00D7226C">
        <w:rPr>
          <w:lang w:val="en-GB"/>
        </w:rPr>
        <w:t xml:space="preserve"> based on </w:t>
      </w:r>
      <w:r w:rsidRPr="00D7226C">
        <w:rPr>
          <w:lang w:val="en-GB"/>
        </w:rPr>
        <w:t>model output data</w:t>
      </w:r>
      <w:r w:rsidR="00293BB0">
        <w:rPr>
          <w:lang w:val="en-GB"/>
        </w:rPr>
        <w:t xml:space="preserve"> (t</w:t>
      </w:r>
      <w:r w:rsidRPr="00D7226C">
        <w:rPr>
          <w:lang w:val="en-GB"/>
        </w:rPr>
        <w:t xml:space="preserve">his calculation is done </w:t>
      </w:r>
      <w:r w:rsidRPr="00DF5FD0">
        <w:rPr>
          <w:lang w:val="en-GB"/>
        </w:rPr>
        <w:t>on the run by the web application according to the options selected in the menu by the user</w:t>
      </w:r>
      <w:r w:rsidR="00293BB0">
        <w:rPr>
          <w:lang w:val="en-GB"/>
        </w:rPr>
        <w:t>)</w:t>
      </w:r>
      <w:r w:rsidRPr="00DF5FD0">
        <w:rPr>
          <w:lang w:val="en-GB"/>
        </w:rPr>
        <w:t>.</w:t>
      </w:r>
    </w:p>
    <w:p w14:paraId="65607C20" w14:textId="746201A9" w:rsidR="000911EF" w:rsidRPr="00DF5FD0" w:rsidRDefault="007026D6" w:rsidP="006471E6">
      <w:pPr>
        <w:pStyle w:val="ListParagraph"/>
        <w:numPr>
          <w:ilvl w:val="0"/>
          <w:numId w:val="1"/>
        </w:numPr>
        <w:spacing w:after="0" w:line="240" w:lineRule="auto"/>
        <w:rPr>
          <w:lang w:val="en-GB"/>
        </w:rPr>
      </w:pPr>
      <w:r w:rsidRPr="00DF5FD0">
        <w:rPr>
          <w:b/>
          <w:bCs/>
          <w:lang w:val="en-GB"/>
        </w:rPr>
        <w:t>User interface:</w:t>
      </w:r>
      <w:r w:rsidR="002C737C" w:rsidRPr="00DF5FD0">
        <w:rPr>
          <w:lang w:val="en-GB"/>
        </w:rPr>
        <w:t xml:space="preserve"> this category comprises </w:t>
      </w:r>
      <w:r w:rsidR="00BE1F3A">
        <w:rPr>
          <w:lang w:val="en-GB"/>
        </w:rPr>
        <w:t xml:space="preserve">the issues related to the appearance, </w:t>
      </w:r>
      <w:r w:rsidR="00F30E4E">
        <w:rPr>
          <w:lang w:val="en-GB"/>
        </w:rPr>
        <w:t>display errors/artifacts and defective/missing functions of the user interface.</w:t>
      </w:r>
    </w:p>
    <w:p w14:paraId="316A4B1B" w14:textId="77777777" w:rsidR="000911EF" w:rsidRPr="00D7226C" w:rsidRDefault="000911EF" w:rsidP="006471E6">
      <w:pPr>
        <w:spacing w:after="0" w:line="240" w:lineRule="auto"/>
        <w:rPr>
          <w:lang w:val="en-GB"/>
        </w:rPr>
      </w:pPr>
    </w:p>
    <w:p w14:paraId="55D01D27" w14:textId="3EE180A1" w:rsidR="000911EF" w:rsidRDefault="007026D6" w:rsidP="006471E6">
      <w:pPr>
        <w:spacing w:after="0" w:line="240" w:lineRule="auto"/>
        <w:rPr>
          <w:lang w:val="en-GB"/>
        </w:rPr>
      </w:pPr>
      <w:r w:rsidRPr="00D7226C">
        <w:rPr>
          <w:lang w:val="en-GB"/>
        </w:rPr>
        <w:t>If you wish t</w:t>
      </w:r>
      <w:r w:rsidRPr="00D7226C">
        <w:rPr>
          <w:lang w:val="en-GB"/>
        </w:rPr>
        <w:t xml:space="preserve">o report an issue that is not documented here, please contact us at </w:t>
      </w:r>
      <w:hyperlink r:id="rId7" w:history="1">
        <w:r w:rsidRPr="00D7226C">
          <w:rPr>
            <w:rStyle w:val="Hyperlink"/>
            <w:lang w:val="en-GB"/>
          </w:rPr>
          <w:t>icwrgc@bafg.de</w:t>
        </w:r>
      </w:hyperlink>
      <w:r w:rsidRPr="00D7226C">
        <w:rPr>
          <w:lang w:val="en-GB"/>
        </w:rPr>
        <w:t>.</w:t>
      </w:r>
    </w:p>
    <w:p w14:paraId="6C108437" w14:textId="77777777" w:rsidR="006471E6" w:rsidRPr="00D7226C" w:rsidRDefault="006471E6" w:rsidP="006471E6">
      <w:pPr>
        <w:spacing w:after="0" w:line="240" w:lineRule="auto"/>
        <w:rPr>
          <w:lang w:val="en-GB"/>
        </w:rPr>
      </w:pPr>
    </w:p>
    <w:p w14:paraId="2BFB52E9" w14:textId="1D1173A5" w:rsidR="000911EF" w:rsidRPr="00D7226C" w:rsidRDefault="007026D6" w:rsidP="006471E6">
      <w:pPr>
        <w:pStyle w:val="Heading1"/>
        <w:numPr>
          <w:ilvl w:val="0"/>
          <w:numId w:val="11"/>
        </w:numPr>
        <w:spacing w:before="0" w:line="240" w:lineRule="auto"/>
        <w:rPr>
          <w:lang w:val="en-GB"/>
        </w:rPr>
      </w:pPr>
      <w:r w:rsidRPr="00D7226C">
        <w:rPr>
          <w:lang w:val="en-GB"/>
        </w:rPr>
        <w:t>Known issues</w:t>
      </w:r>
    </w:p>
    <w:p w14:paraId="63A88424" w14:textId="77777777" w:rsidR="000911EF" w:rsidRPr="00D7226C" w:rsidRDefault="000911EF" w:rsidP="006471E6">
      <w:pPr>
        <w:pStyle w:val="Heading2"/>
        <w:spacing w:before="0" w:line="240" w:lineRule="auto"/>
        <w:rPr>
          <w:rFonts w:asciiTheme="minorHAnsi" w:eastAsiaTheme="minorHAnsi" w:hAnsiTheme="minorHAnsi" w:cstheme="minorBidi"/>
          <w:color w:val="auto"/>
          <w:sz w:val="22"/>
          <w:szCs w:val="22"/>
          <w:lang w:val="en-GB"/>
        </w:rPr>
      </w:pPr>
    </w:p>
    <w:p w14:paraId="52E24E91" w14:textId="5C237E28" w:rsidR="000911EF" w:rsidRPr="00D7226C" w:rsidRDefault="007026D6" w:rsidP="006471E6">
      <w:pPr>
        <w:pStyle w:val="Heading2"/>
        <w:numPr>
          <w:ilvl w:val="1"/>
          <w:numId w:val="11"/>
        </w:numPr>
        <w:spacing w:before="0" w:line="240" w:lineRule="auto"/>
        <w:rPr>
          <w:lang w:val="en-GB"/>
        </w:rPr>
      </w:pPr>
      <w:r w:rsidRPr="00D7226C">
        <w:rPr>
          <w:lang w:val="en-GB"/>
        </w:rPr>
        <w:t>Model output data</w:t>
      </w:r>
    </w:p>
    <w:p w14:paraId="4EECE352" w14:textId="77777777" w:rsidR="000911EF" w:rsidRPr="00D7226C" w:rsidRDefault="000911EF" w:rsidP="006471E6">
      <w:pPr>
        <w:spacing w:after="0" w:line="240" w:lineRule="auto"/>
        <w:rPr>
          <w:lang w:val="en-GB"/>
        </w:rPr>
      </w:pPr>
    </w:p>
    <w:p w14:paraId="70D9A80A" w14:textId="7686CACD" w:rsidR="000911EF" w:rsidRDefault="007026D6" w:rsidP="006471E6">
      <w:pPr>
        <w:spacing w:after="0" w:line="240" w:lineRule="auto"/>
        <w:rPr>
          <w:lang w:val="en-GB"/>
        </w:rPr>
      </w:pPr>
      <w:r w:rsidRPr="00D7226C">
        <w:rPr>
          <w:lang w:val="en-GB"/>
        </w:rPr>
        <w:t xml:space="preserve">Some of the model output data sets, which are needed for the computation of the indicator data sets, </w:t>
      </w:r>
      <w:r w:rsidRPr="00D7226C">
        <w:rPr>
          <w:lang w:val="en-GB"/>
        </w:rPr>
        <w:t>need to be updated. The data sets in question are:</w:t>
      </w:r>
    </w:p>
    <w:p w14:paraId="2C1F1E6C" w14:textId="77777777" w:rsidR="003A05DC" w:rsidRPr="00D7226C" w:rsidRDefault="003A05DC" w:rsidP="006471E6">
      <w:pPr>
        <w:spacing w:after="0" w:line="240" w:lineRule="auto"/>
        <w:rPr>
          <w:lang w:val="en-GB"/>
        </w:rPr>
      </w:pPr>
    </w:p>
    <w:p w14:paraId="69106D02" w14:textId="40DEEA21" w:rsidR="000911EF" w:rsidRDefault="007026D6" w:rsidP="006471E6">
      <w:pPr>
        <w:pStyle w:val="ListParagraph"/>
        <w:numPr>
          <w:ilvl w:val="0"/>
          <w:numId w:val="2"/>
        </w:numPr>
        <w:spacing w:after="0" w:line="240" w:lineRule="auto"/>
        <w:rPr>
          <w:lang w:val="en-GB"/>
        </w:rPr>
      </w:pPr>
      <w:r w:rsidRPr="00D7226C">
        <w:rPr>
          <w:lang w:val="en-GB"/>
        </w:rPr>
        <w:t>All WaterGAP2.2d data sets corresponding to the PET-</w:t>
      </w:r>
      <w:r w:rsidRPr="00D7226C">
        <w:rPr>
          <w:color w:val="000000" w:themeColor="text1"/>
          <w:lang w:val="en-GB"/>
        </w:rPr>
        <w:t>MD</w:t>
      </w:r>
      <w:r w:rsidRPr="00D7226C">
        <w:rPr>
          <w:color w:val="000000" w:themeColor="text1"/>
          <w:vertAlign w:val="superscript"/>
          <w:lang w:val="en-GB"/>
        </w:rPr>
        <w:t>4</w:t>
      </w:r>
      <w:r w:rsidRPr="00D7226C">
        <w:rPr>
          <w:color w:val="000000" w:themeColor="text1"/>
          <w:lang w:val="en-GB"/>
        </w:rPr>
        <w:t xml:space="preserve"> modelling scheme</w:t>
      </w:r>
      <w:r w:rsidRPr="00D7226C">
        <w:rPr>
          <w:lang w:val="en-GB"/>
        </w:rPr>
        <w:t>.</w:t>
      </w:r>
    </w:p>
    <w:p w14:paraId="42C8C61C" w14:textId="77777777" w:rsidR="003A05DC" w:rsidRPr="00D7226C" w:rsidRDefault="003A05DC" w:rsidP="006471E6">
      <w:pPr>
        <w:pStyle w:val="ListParagraph"/>
        <w:spacing w:after="0" w:line="240" w:lineRule="auto"/>
        <w:rPr>
          <w:lang w:val="en-GB"/>
        </w:rPr>
      </w:pPr>
    </w:p>
    <w:p w14:paraId="3632DCCA" w14:textId="77777777" w:rsidR="000911EF" w:rsidRPr="00D7226C" w:rsidRDefault="007026D6" w:rsidP="006471E6">
      <w:pPr>
        <w:pStyle w:val="ListParagraph"/>
        <w:numPr>
          <w:ilvl w:val="0"/>
          <w:numId w:val="2"/>
        </w:numPr>
        <w:spacing w:after="0" w:line="240" w:lineRule="auto"/>
        <w:rPr>
          <w:lang w:val="en-GB"/>
        </w:rPr>
      </w:pPr>
      <w:r w:rsidRPr="00D7226C">
        <w:rPr>
          <w:lang w:val="en-GB"/>
        </w:rPr>
        <w:t xml:space="preserve">All soil moisture data sets computed with </w:t>
      </w:r>
      <w:proofErr w:type="spellStart"/>
      <w:r w:rsidRPr="00D7226C">
        <w:rPr>
          <w:lang w:val="en-GB"/>
        </w:rPr>
        <w:t>LPJmL</w:t>
      </w:r>
      <w:proofErr w:type="spellEnd"/>
      <w:r w:rsidRPr="00D7226C">
        <w:rPr>
          <w:lang w:val="en-GB"/>
        </w:rPr>
        <w:t>. Until this update is effective, the indicators derived from soil moisture data wil</w:t>
      </w:r>
      <w:r w:rsidRPr="00D7226C">
        <w:rPr>
          <w:lang w:val="en-GB"/>
        </w:rPr>
        <w:t>l not be available in the portal.</w:t>
      </w:r>
    </w:p>
    <w:p w14:paraId="584CFCE9" w14:textId="77777777" w:rsidR="000911EF" w:rsidRPr="00D7226C" w:rsidRDefault="000911EF" w:rsidP="006471E6">
      <w:pPr>
        <w:spacing w:after="0" w:line="240" w:lineRule="auto"/>
        <w:rPr>
          <w:lang w:val="en-GB"/>
        </w:rPr>
      </w:pPr>
    </w:p>
    <w:p w14:paraId="1C8F5415" w14:textId="1BA84A67" w:rsidR="000911EF" w:rsidRPr="00D7226C" w:rsidRDefault="007026D6" w:rsidP="006471E6">
      <w:pPr>
        <w:pStyle w:val="Heading2"/>
        <w:numPr>
          <w:ilvl w:val="1"/>
          <w:numId w:val="11"/>
        </w:numPr>
        <w:spacing w:before="0" w:line="240" w:lineRule="auto"/>
        <w:rPr>
          <w:lang w:val="en-GB"/>
        </w:rPr>
      </w:pPr>
      <w:r w:rsidRPr="00D7226C">
        <w:rPr>
          <w:lang w:val="en-GB"/>
        </w:rPr>
        <w:t>Calculation and availability of indicators</w:t>
      </w:r>
    </w:p>
    <w:p w14:paraId="41997083" w14:textId="77777777" w:rsidR="000911EF" w:rsidRPr="00D7226C" w:rsidRDefault="000911EF" w:rsidP="006471E6">
      <w:pPr>
        <w:spacing w:after="0" w:line="240" w:lineRule="auto"/>
        <w:rPr>
          <w:lang w:val="en-GB"/>
        </w:rPr>
      </w:pPr>
    </w:p>
    <w:p w14:paraId="367E24FC" w14:textId="6B82BEFB" w:rsidR="000911EF" w:rsidRPr="00D7226C" w:rsidRDefault="007026D6" w:rsidP="006471E6">
      <w:pPr>
        <w:pStyle w:val="ListParagraph"/>
        <w:numPr>
          <w:ilvl w:val="0"/>
          <w:numId w:val="3"/>
        </w:numPr>
        <w:spacing w:after="0" w:line="240" w:lineRule="auto"/>
        <w:rPr>
          <w:lang w:val="en-GB"/>
        </w:rPr>
      </w:pPr>
      <w:r w:rsidRPr="00D7226C">
        <w:rPr>
          <w:lang w:val="en-GB"/>
        </w:rPr>
        <w:t xml:space="preserve">For some of the variables, there is the option to compute annual and/or monthly low/high flows (Fig. 1). </w:t>
      </w:r>
      <w:r w:rsidRPr="00D7226C">
        <w:rPr>
          <w:lang w:val="en-GB"/>
        </w:rPr>
        <w:t>These statistics are calculated as percentiles. The current corresponden</w:t>
      </w:r>
      <w:r w:rsidRPr="00D7226C">
        <w:rPr>
          <w:lang w:val="en-GB"/>
        </w:rPr>
        <w:t xml:space="preserve">ce between menu labels and percentiles (Table 1) needs to be modified in order to correspond to the definition of high and low flows of </w:t>
      </w:r>
      <w:hyperlink r:id="rId8" w:history="1">
        <w:proofErr w:type="spellStart"/>
        <w:r w:rsidRPr="00D7226C">
          <w:rPr>
            <w:rStyle w:val="Hyperlink"/>
            <w:lang w:val="en-GB"/>
          </w:rPr>
          <w:t>Hattermann</w:t>
        </w:r>
        <w:proofErr w:type="spellEnd"/>
        <w:r w:rsidRPr="00D7226C">
          <w:rPr>
            <w:rStyle w:val="Hyperlink"/>
            <w:lang w:val="en-GB"/>
          </w:rPr>
          <w:t xml:space="preserve"> et al. </w:t>
        </w:r>
        <w:r w:rsidRPr="00D7226C">
          <w:rPr>
            <w:rStyle w:val="Hyperlink"/>
            <w:lang w:val="en-GB"/>
          </w:rPr>
          <w:t>(</w:t>
        </w:r>
        <w:r w:rsidRPr="00D7226C">
          <w:rPr>
            <w:rStyle w:val="Hyperlink"/>
            <w:lang w:val="en-GB"/>
          </w:rPr>
          <w:t>2018)</w:t>
        </w:r>
      </w:hyperlink>
      <w:r w:rsidRPr="00D7226C">
        <w:rPr>
          <w:lang w:val="en-GB"/>
        </w:rPr>
        <w:t xml:space="preserve"> (Table 2).</w:t>
      </w:r>
      <w:r w:rsidRPr="00D7226C">
        <w:rPr>
          <w:lang w:val="en-GB"/>
        </w:rPr>
        <w:t xml:space="preserve"> </w:t>
      </w:r>
    </w:p>
    <w:p w14:paraId="205DB7C2" w14:textId="377B3C97" w:rsidR="000911EF" w:rsidRDefault="000911EF" w:rsidP="006471E6">
      <w:pPr>
        <w:spacing w:after="0" w:line="240" w:lineRule="auto"/>
        <w:rPr>
          <w:lang w:val="en-GB"/>
        </w:rPr>
      </w:pPr>
    </w:p>
    <w:p w14:paraId="0DD02C40" w14:textId="063E39FE" w:rsidR="00BA7E47" w:rsidRPr="00BA7E47" w:rsidRDefault="00BA7E47" w:rsidP="00BA7E47">
      <w:pPr>
        <w:rPr>
          <w:lang w:val="en-GB"/>
        </w:rPr>
      </w:pPr>
    </w:p>
    <w:p w14:paraId="1C43753B" w14:textId="62F51580" w:rsidR="00BA7E47" w:rsidRPr="00BA7E47" w:rsidRDefault="00BA7E47" w:rsidP="00BA7E47">
      <w:pPr>
        <w:rPr>
          <w:lang w:val="en-GB"/>
        </w:rPr>
      </w:pPr>
    </w:p>
    <w:p w14:paraId="6F46AAC3" w14:textId="0511DDD3" w:rsidR="00BA7E47" w:rsidRPr="00BA7E47" w:rsidRDefault="00BA7E47" w:rsidP="00BA7E47">
      <w:pPr>
        <w:rPr>
          <w:lang w:val="en-GB"/>
        </w:rPr>
      </w:pPr>
    </w:p>
    <w:p w14:paraId="1977992F" w14:textId="1C3C5606" w:rsidR="00BA7E47" w:rsidRPr="00BA7E47" w:rsidRDefault="00BA7E47" w:rsidP="00BA7E47">
      <w:pPr>
        <w:tabs>
          <w:tab w:val="left" w:pos="3204"/>
        </w:tabs>
        <w:rPr>
          <w:lang w:val="en-GB"/>
        </w:rPr>
      </w:pPr>
      <w:r>
        <w:rPr>
          <w:lang w:val="en-GB"/>
        </w:rPr>
        <w:tab/>
      </w:r>
    </w:p>
    <w:p w14:paraId="465F49A5" w14:textId="77777777" w:rsidR="000911EF" w:rsidRPr="00D7226C" w:rsidRDefault="007026D6" w:rsidP="006471E6">
      <w:pPr>
        <w:keepNext/>
        <w:spacing w:after="0" w:line="240" w:lineRule="auto"/>
        <w:jc w:val="center"/>
        <w:rPr>
          <w:lang w:val="en-GB"/>
        </w:rPr>
      </w:pPr>
      <w:r w:rsidRPr="00D7226C">
        <w:rPr>
          <w:noProof/>
          <w:lang w:val="en-GB"/>
        </w:rPr>
        <w:lastRenderedPageBreak/>
        <w:drawing>
          <wp:inline distT="0" distB="0" distL="0" distR="0" wp14:anchorId="4E2D4409" wp14:editId="3997F75E">
            <wp:extent cx="2103302" cy="2941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stic menu.png"/>
                    <pic:cNvPicPr/>
                  </pic:nvPicPr>
                  <pic:blipFill>
                    <a:blip r:embed="rId9">
                      <a:extLst>
                        <a:ext uri="{28A0092B-C50C-407E-A947-70E740481C1C}">
                          <a14:useLocalDpi xmlns:a14="http://schemas.microsoft.com/office/drawing/2010/main" val="0"/>
                        </a:ext>
                      </a:extLst>
                    </a:blip>
                    <a:stretch>
                      <a:fillRect/>
                    </a:stretch>
                  </pic:blipFill>
                  <pic:spPr>
                    <a:xfrm>
                      <a:off x="0" y="0"/>
                      <a:ext cx="2103302" cy="2941575"/>
                    </a:xfrm>
                    <a:prstGeom prst="rect">
                      <a:avLst/>
                    </a:prstGeom>
                  </pic:spPr>
                </pic:pic>
              </a:graphicData>
            </a:graphic>
          </wp:inline>
        </w:drawing>
      </w:r>
    </w:p>
    <w:p w14:paraId="1AC3043F" w14:textId="549823C2" w:rsidR="000A6F39"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lang w:val="en-GB"/>
        </w:rPr>
        <w:t>1</w:t>
      </w:r>
      <w:r w:rsidRPr="00D7226C">
        <w:rPr>
          <w:lang w:val="en-GB"/>
        </w:rPr>
        <w:fldChar w:fldCharType="end"/>
      </w:r>
      <w:r w:rsidRPr="00D7226C">
        <w:rPr>
          <w:lang w:val="en-GB"/>
        </w:rPr>
        <w:t xml:space="preserve">: </w:t>
      </w:r>
      <w:r w:rsidRPr="00D7226C">
        <w:rPr>
          <w:lang w:val="en-GB"/>
        </w:rPr>
        <w:t xml:space="preserve">Annual and </w:t>
      </w:r>
      <w:r w:rsidRPr="00D7226C">
        <w:rPr>
          <w:lang w:val="en-GB"/>
        </w:rPr>
        <w:t>monthly high and low</w:t>
      </w:r>
      <w:r w:rsidRPr="00D7226C">
        <w:rPr>
          <w:lang w:val="en-GB"/>
        </w:rPr>
        <w:t xml:space="preserve"> flow </w:t>
      </w:r>
      <w:r w:rsidRPr="00D7226C">
        <w:rPr>
          <w:lang w:val="en-GB"/>
        </w:rPr>
        <w:t>options in the “Statistic” drop-down menu.</w:t>
      </w:r>
    </w:p>
    <w:p w14:paraId="6BA0B12D" w14:textId="77777777" w:rsidR="00147B8B" w:rsidRPr="00147B8B" w:rsidRDefault="00147B8B" w:rsidP="006471E6">
      <w:pPr>
        <w:spacing w:after="0" w:line="240" w:lineRule="auto"/>
        <w:rPr>
          <w:lang w:val="en-GB"/>
        </w:rPr>
      </w:pPr>
    </w:p>
    <w:p w14:paraId="1B86ABC5" w14:textId="77777777" w:rsidR="000911EF" w:rsidRPr="00D7226C" w:rsidRDefault="007026D6" w:rsidP="006471E6">
      <w:pPr>
        <w:pStyle w:val="Caption"/>
        <w:keepNext/>
        <w:spacing w:after="0"/>
        <w:rPr>
          <w:i/>
          <w:lang w:val="en-GB"/>
        </w:rPr>
      </w:pPr>
      <w:r w:rsidRPr="00D7226C">
        <w:rPr>
          <w:lang w:val="en-GB"/>
        </w:rPr>
        <w:t>T</w:t>
      </w:r>
      <w:r w:rsidRPr="00D7226C">
        <w:rPr>
          <w:lang w:val="en-GB"/>
        </w:rPr>
        <w:t xml:space="preserve">able </w:t>
      </w:r>
      <w:r w:rsidRPr="00D7226C">
        <w:rPr>
          <w:lang w:val="en-GB"/>
        </w:rPr>
        <w:fldChar w:fldCharType="begin"/>
      </w:r>
      <w:r w:rsidRPr="00D7226C">
        <w:rPr>
          <w:lang w:val="en-GB"/>
        </w:rPr>
        <w:instrText xml:space="preserve"> SEQ Table \* ARABIC </w:instrText>
      </w:r>
      <w:r w:rsidRPr="00D7226C">
        <w:rPr>
          <w:lang w:val="en-GB"/>
        </w:rPr>
        <w:fldChar w:fldCharType="separate"/>
      </w:r>
      <w:r w:rsidRPr="00D7226C">
        <w:rPr>
          <w:noProof/>
          <w:lang w:val="en-GB"/>
        </w:rPr>
        <w:t>1</w:t>
      </w:r>
      <w:r w:rsidRPr="00D7226C">
        <w:rPr>
          <w:lang w:val="en-GB"/>
        </w:rPr>
        <w:fldChar w:fldCharType="end"/>
      </w:r>
      <w:r w:rsidRPr="00D7226C">
        <w:rPr>
          <w:lang w:val="en-GB"/>
        </w:rPr>
        <w:t xml:space="preserve">: </w:t>
      </w:r>
      <w:r w:rsidRPr="00D7226C">
        <w:rPr>
          <w:lang w:val="en-GB"/>
        </w:rPr>
        <w:t>Current correspondence between labels in the “Statistic” menu and percentiles.</w:t>
      </w:r>
    </w:p>
    <w:tbl>
      <w:tblPr>
        <w:tblStyle w:val="TableGrid"/>
        <w:tblW w:w="0" w:type="auto"/>
        <w:tblInd w:w="720" w:type="dxa"/>
        <w:tblLook w:val="04A0" w:firstRow="1" w:lastRow="0" w:firstColumn="1" w:lastColumn="0" w:noHBand="0" w:noVBand="1"/>
      </w:tblPr>
      <w:tblGrid>
        <w:gridCol w:w="4158"/>
        <w:gridCol w:w="4184"/>
      </w:tblGrid>
      <w:tr w:rsidR="000911EF" w:rsidRPr="00D7226C" w14:paraId="5F6C980A" w14:textId="77777777">
        <w:tc>
          <w:tcPr>
            <w:tcW w:w="4158" w:type="dxa"/>
          </w:tcPr>
          <w:p w14:paraId="187877E4" w14:textId="77777777" w:rsidR="000911EF" w:rsidRPr="00D7226C" w:rsidRDefault="007026D6" w:rsidP="006471E6">
            <w:pPr>
              <w:pStyle w:val="ListParagraph"/>
              <w:ind w:left="0"/>
              <w:rPr>
                <w:b/>
                <w:lang w:val="en-GB"/>
              </w:rPr>
            </w:pPr>
            <w:r w:rsidRPr="00D7226C">
              <w:rPr>
                <w:b/>
                <w:lang w:val="en-GB"/>
              </w:rPr>
              <w:t>Option in “Statistic” menu</w:t>
            </w:r>
          </w:p>
        </w:tc>
        <w:tc>
          <w:tcPr>
            <w:tcW w:w="4184" w:type="dxa"/>
          </w:tcPr>
          <w:p w14:paraId="609C18B4" w14:textId="77777777" w:rsidR="000911EF" w:rsidRPr="00D7226C" w:rsidRDefault="007026D6" w:rsidP="006471E6">
            <w:pPr>
              <w:pStyle w:val="ListParagraph"/>
              <w:ind w:left="0"/>
              <w:rPr>
                <w:b/>
                <w:lang w:val="en-GB"/>
              </w:rPr>
            </w:pPr>
            <w:r w:rsidRPr="00D7226C">
              <w:rPr>
                <w:b/>
                <w:lang w:val="en-GB"/>
              </w:rPr>
              <w:t>Corresponds to…</w:t>
            </w:r>
          </w:p>
        </w:tc>
      </w:tr>
      <w:tr w:rsidR="000911EF" w:rsidRPr="00D7226C" w14:paraId="39AC9E6D" w14:textId="77777777">
        <w:tc>
          <w:tcPr>
            <w:tcW w:w="4158" w:type="dxa"/>
          </w:tcPr>
          <w:p w14:paraId="6411B1FD" w14:textId="77777777" w:rsidR="000911EF" w:rsidRPr="00D7226C" w:rsidRDefault="007026D6" w:rsidP="006471E6">
            <w:pPr>
              <w:rPr>
                <w:lang w:val="en-GB"/>
              </w:rPr>
            </w:pPr>
            <w:r w:rsidRPr="00D7226C">
              <w:rPr>
                <w:lang w:val="en-GB"/>
              </w:rPr>
              <w:t>Annual low (Q10)</w:t>
            </w:r>
          </w:p>
        </w:tc>
        <w:tc>
          <w:tcPr>
            <w:tcW w:w="4184" w:type="dxa"/>
          </w:tcPr>
          <w:p w14:paraId="15E62881" w14:textId="77777777" w:rsidR="000911EF" w:rsidRPr="00D7226C" w:rsidRDefault="007026D6" w:rsidP="006471E6">
            <w:pPr>
              <w:pStyle w:val="ListParagraph"/>
              <w:ind w:left="0"/>
              <w:rPr>
                <w:lang w:val="en-GB"/>
              </w:rPr>
            </w:pPr>
            <w:r w:rsidRPr="00D7226C">
              <w:rPr>
                <w:lang w:val="en-GB"/>
              </w:rPr>
              <w:t>90</w:t>
            </w:r>
            <w:r w:rsidRPr="00D7226C">
              <w:rPr>
                <w:lang w:val="en-GB"/>
              </w:rPr>
              <w:t>th</w:t>
            </w:r>
            <w:r w:rsidRPr="00D7226C">
              <w:rPr>
                <w:lang w:val="en-GB"/>
              </w:rPr>
              <w:t xml:space="preserve"> percentile</w:t>
            </w:r>
          </w:p>
        </w:tc>
      </w:tr>
      <w:tr w:rsidR="000911EF" w:rsidRPr="00D7226C" w14:paraId="3F0FEB6B" w14:textId="77777777">
        <w:tc>
          <w:tcPr>
            <w:tcW w:w="4158" w:type="dxa"/>
          </w:tcPr>
          <w:p w14:paraId="2E4692F7" w14:textId="77777777" w:rsidR="000911EF" w:rsidRPr="00D7226C" w:rsidRDefault="007026D6" w:rsidP="006471E6">
            <w:pPr>
              <w:rPr>
                <w:lang w:val="en-GB"/>
              </w:rPr>
            </w:pPr>
            <w:r w:rsidRPr="00D7226C">
              <w:rPr>
                <w:lang w:val="en-GB"/>
              </w:rPr>
              <w:t>Annual high (Q80)</w:t>
            </w:r>
          </w:p>
        </w:tc>
        <w:tc>
          <w:tcPr>
            <w:tcW w:w="4184" w:type="dxa"/>
          </w:tcPr>
          <w:p w14:paraId="6480DFA0" w14:textId="77777777" w:rsidR="000911EF" w:rsidRPr="00D7226C" w:rsidRDefault="007026D6" w:rsidP="006471E6">
            <w:pPr>
              <w:pStyle w:val="ListParagraph"/>
              <w:ind w:left="0"/>
              <w:rPr>
                <w:lang w:val="en-GB"/>
              </w:rPr>
            </w:pPr>
            <w:r w:rsidRPr="00D7226C">
              <w:rPr>
                <w:lang w:val="en-GB"/>
              </w:rPr>
              <w:t>20</w:t>
            </w:r>
            <w:r w:rsidRPr="00D7226C">
              <w:rPr>
                <w:vertAlign w:val="superscript"/>
                <w:lang w:val="en-GB"/>
              </w:rPr>
              <w:t>th</w:t>
            </w:r>
            <w:r w:rsidRPr="00D7226C">
              <w:rPr>
                <w:lang w:val="en-GB"/>
              </w:rPr>
              <w:t xml:space="preserve"> </w:t>
            </w:r>
            <w:r w:rsidRPr="00D7226C">
              <w:rPr>
                <w:lang w:val="en-GB"/>
              </w:rPr>
              <w:t>percentile</w:t>
            </w:r>
          </w:p>
        </w:tc>
      </w:tr>
      <w:tr w:rsidR="000911EF" w:rsidRPr="00D7226C" w14:paraId="3763EDC8" w14:textId="77777777">
        <w:tc>
          <w:tcPr>
            <w:tcW w:w="4158" w:type="dxa"/>
          </w:tcPr>
          <w:p w14:paraId="60C75018" w14:textId="77777777" w:rsidR="000911EF" w:rsidRPr="00D7226C" w:rsidRDefault="007026D6" w:rsidP="006471E6">
            <w:pPr>
              <w:pStyle w:val="ListParagraph"/>
              <w:ind w:left="0"/>
              <w:rPr>
                <w:lang w:val="en-GB"/>
              </w:rPr>
            </w:pPr>
            <w:r w:rsidRPr="00D7226C">
              <w:rPr>
                <w:lang w:val="en-GB"/>
              </w:rPr>
              <w:t>Annual high (Q90)</w:t>
            </w:r>
          </w:p>
        </w:tc>
        <w:tc>
          <w:tcPr>
            <w:tcW w:w="4184" w:type="dxa"/>
          </w:tcPr>
          <w:p w14:paraId="59589BF5" w14:textId="77777777" w:rsidR="000911EF" w:rsidRPr="00D7226C" w:rsidRDefault="007026D6" w:rsidP="006471E6">
            <w:pPr>
              <w:pStyle w:val="ListParagraph"/>
              <w:ind w:left="0"/>
              <w:rPr>
                <w:lang w:val="en-GB"/>
              </w:rPr>
            </w:pPr>
            <w:r w:rsidRPr="00D7226C">
              <w:rPr>
                <w:lang w:val="en-GB"/>
              </w:rPr>
              <w:t>10</w:t>
            </w:r>
            <w:r w:rsidRPr="00D7226C">
              <w:rPr>
                <w:vertAlign w:val="superscript"/>
                <w:lang w:val="en-GB"/>
              </w:rPr>
              <w:t>th</w:t>
            </w:r>
            <w:r w:rsidRPr="00D7226C">
              <w:rPr>
                <w:lang w:val="en-GB"/>
              </w:rPr>
              <w:t xml:space="preserve"> percentile</w:t>
            </w:r>
          </w:p>
        </w:tc>
      </w:tr>
    </w:tbl>
    <w:p w14:paraId="0FA5DB17" w14:textId="77777777" w:rsidR="000911EF" w:rsidRPr="00D7226C" w:rsidRDefault="000911EF" w:rsidP="006471E6">
      <w:pPr>
        <w:spacing w:after="0" w:line="240" w:lineRule="auto"/>
        <w:rPr>
          <w:lang w:val="en-GB"/>
        </w:rPr>
      </w:pPr>
    </w:p>
    <w:p w14:paraId="68D2B521" w14:textId="77777777" w:rsidR="000911EF" w:rsidRPr="00D7226C" w:rsidRDefault="007026D6" w:rsidP="006471E6">
      <w:pPr>
        <w:pStyle w:val="Caption"/>
        <w:keepNext/>
        <w:spacing w:after="0"/>
        <w:rPr>
          <w:lang w:val="en-GB"/>
        </w:rPr>
      </w:pPr>
      <w:r w:rsidRPr="00D7226C">
        <w:rPr>
          <w:lang w:val="en-GB"/>
        </w:rPr>
        <w:t xml:space="preserve">Table </w:t>
      </w:r>
      <w:r w:rsidRPr="00D7226C">
        <w:rPr>
          <w:lang w:val="en-GB"/>
        </w:rPr>
        <w:fldChar w:fldCharType="begin"/>
      </w:r>
      <w:r w:rsidRPr="00D7226C">
        <w:rPr>
          <w:lang w:val="en-GB"/>
        </w:rPr>
        <w:instrText xml:space="preserve"> SEQ Table \* ARABIC </w:instrText>
      </w:r>
      <w:r w:rsidRPr="00D7226C">
        <w:rPr>
          <w:lang w:val="en-GB"/>
        </w:rPr>
        <w:fldChar w:fldCharType="separate"/>
      </w:r>
      <w:r w:rsidRPr="00D7226C">
        <w:rPr>
          <w:noProof/>
          <w:lang w:val="en-GB"/>
        </w:rPr>
        <w:t>2</w:t>
      </w:r>
      <w:r w:rsidRPr="00D7226C">
        <w:rPr>
          <w:lang w:val="en-GB"/>
        </w:rPr>
        <w:fldChar w:fldCharType="end"/>
      </w:r>
      <w:r w:rsidRPr="00D7226C">
        <w:rPr>
          <w:lang w:val="en-GB"/>
        </w:rPr>
        <w:t xml:space="preserve">: </w:t>
      </w:r>
      <w:r w:rsidRPr="00D7226C">
        <w:rPr>
          <w:lang w:val="en-GB"/>
        </w:rPr>
        <w:t>Correspondence between labels in the “Statistic” menu and percentiles after planned changes.</w:t>
      </w:r>
    </w:p>
    <w:tbl>
      <w:tblPr>
        <w:tblStyle w:val="TableGrid"/>
        <w:tblW w:w="0" w:type="auto"/>
        <w:tblInd w:w="720" w:type="dxa"/>
        <w:tblLook w:val="04A0" w:firstRow="1" w:lastRow="0" w:firstColumn="1" w:lastColumn="0" w:noHBand="0" w:noVBand="1"/>
      </w:tblPr>
      <w:tblGrid>
        <w:gridCol w:w="4171"/>
        <w:gridCol w:w="4171"/>
      </w:tblGrid>
      <w:tr w:rsidR="000911EF" w:rsidRPr="00D7226C" w14:paraId="14516CA6" w14:textId="77777777">
        <w:tc>
          <w:tcPr>
            <w:tcW w:w="4171" w:type="dxa"/>
          </w:tcPr>
          <w:p w14:paraId="767BA088" w14:textId="77777777" w:rsidR="000911EF" w:rsidRPr="00D7226C" w:rsidRDefault="007026D6" w:rsidP="006471E6">
            <w:pPr>
              <w:pStyle w:val="ListParagraph"/>
              <w:tabs>
                <w:tab w:val="left" w:pos="2896"/>
              </w:tabs>
              <w:ind w:left="0"/>
              <w:rPr>
                <w:b/>
                <w:lang w:val="en-GB"/>
              </w:rPr>
            </w:pPr>
            <w:r w:rsidRPr="00D7226C">
              <w:rPr>
                <w:b/>
                <w:lang w:val="en-GB"/>
              </w:rPr>
              <w:t>Option in “Statistic” menu</w:t>
            </w:r>
            <w:r w:rsidRPr="00D7226C">
              <w:rPr>
                <w:b/>
                <w:lang w:val="en-GB"/>
              </w:rPr>
              <w:tab/>
            </w:r>
          </w:p>
        </w:tc>
        <w:tc>
          <w:tcPr>
            <w:tcW w:w="4171" w:type="dxa"/>
          </w:tcPr>
          <w:p w14:paraId="7FCA70AC" w14:textId="77777777" w:rsidR="000911EF" w:rsidRPr="00D7226C" w:rsidRDefault="007026D6" w:rsidP="006471E6">
            <w:pPr>
              <w:pStyle w:val="ListParagraph"/>
              <w:ind w:left="0"/>
              <w:rPr>
                <w:b/>
                <w:lang w:val="en-GB"/>
              </w:rPr>
            </w:pPr>
            <w:r w:rsidRPr="00D7226C">
              <w:rPr>
                <w:b/>
                <w:lang w:val="en-GB"/>
              </w:rPr>
              <w:t>Corresponds to…</w:t>
            </w:r>
          </w:p>
        </w:tc>
      </w:tr>
      <w:tr w:rsidR="000911EF" w:rsidRPr="00D7226C" w14:paraId="27E27BC2" w14:textId="77777777">
        <w:tc>
          <w:tcPr>
            <w:tcW w:w="4171" w:type="dxa"/>
          </w:tcPr>
          <w:p w14:paraId="12C1E104" w14:textId="77777777" w:rsidR="000911EF" w:rsidRPr="00D7226C" w:rsidRDefault="007026D6" w:rsidP="006471E6">
            <w:pPr>
              <w:pStyle w:val="ListParagraph"/>
              <w:ind w:left="0"/>
              <w:rPr>
                <w:lang w:val="en-GB"/>
              </w:rPr>
            </w:pPr>
            <w:r w:rsidRPr="00D7226C">
              <w:rPr>
                <w:lang w:val="en-GB"/>
              </w:rPr>
              <w:t>Annual low (Q80)</w:t>
            </w:r>
          </w:p>
        </w:tc>
        <w:tc>
          <w:tcPr>
            <w:tcW w:w="4171" w:type="dxa"/>
          </w:tcPr>
          <w:p w14:paraId="32E21F96" w14:textId="77777777" w:rsidR="000911EF" w:rsidRPr="00D7226C" w:rsidRDefault="007026D6" w:rsidP="006471E6">
            <w:pPr>
              <w:pStyle w:val="ListParagraph"/>
              <w:ind w:left="0"/>
              <w:rPr>
                <w:lang w:val="en-GB"/>
              </w:rPr>
            </w:pPr>
            <w:r w:rsidRPr="00D7226C">
              <w:rPr>
                <w:lang w:val="en-GB"/>
              </w:rPr>
              <w:t>80</w:t>
            </w:r>
            <w:r w:rsidRPr="00D7226C">
              <w:rPr>
                <w:vertAlign w:val="superscript"/>
                <w:lang w:val="en-GB"/>
              </w:rPr>
              <w:t>th</w:t>
            </w:r>
            <w:r w:rsidRPr="00D7226C">
              <w:rPr>
                <w:lang w:val="en-GB"/>
              </w:rPr>
              <w:t xml:space="preserve"> percentile</w:t>
            </w:r>
          </w:p>
        </w:tc>
      </w:tr>
      <w:tr w:rsidR="000911EF" w:rsidRPr="00D7226C" w14:paraId="1D304DA5" w14:textId="77777777">
        <w:tc>
          <w:tcPr>
            <w:tcW w:w="4171" w:type="dxa"/>
          </w:tcPr>
          <w:p w14:paraId="36B29925" w14:textId="77777777" w:rsidR="000911EF" w:rsidRPr="00D7226C" w:rsidRDefault="007026D6" w:rsidP="006471E6">
            <w:pPr>
              <w:pStyle w:val="ListParagraph"/>
              <w:ind w:left="0"/>
              <w:rPr>
                <w:lang w:val="en-GB"/>
              </w:rPr>
            </w:pPr>
            <w:r w:rsidRPr="00D7226C">
              <w:rPr>
                <w:lang w:val="en-GB"/>
              </w:rPr>
              <w:t>Annual low (Q90)</w:t>
            </w:r>
          </w:p>
        </w:tc>
        <w:tc>
          <w:tcPr>
            <w:tcW w:w="4171" w:type="dxa"/>
          </w:tcPr>
          <w:p w14:paraId="7CA9E7D8" w14:textId="77777777" w:rsidR="000911EF" w:rsidRPr="00D7226C" w:rsidRDefault="007026D6" w:rsidP="006471E6">
            <w:pPr>
              <w:pStyle w:val="ListParagraph"/>
              <w:ind w:left="0"/>
              <w:rPr>
                <w:lang w:val="en-GB"/>
              </w:rPr>
            </w:pPr>
            <w:r w:rsidRPr="00D7226C">
              <w:rPr>
                <w:lang w:val="en-GB"/>
              </w:rPr>
              <w:t>90</w:t>
            </w:r>
            <w:r w:rsidRPr="00D7226C">
              <w:rPr>
                <w:vertAlign w:val="superscript"/>
                <w:lang w:val="en-GB"/>
              </w:rPr>
              <w:t>th</w:t>
            </w:r>
            <w:r w:rsidRPr="00D7226C">
              <w:rPr>
                <w:lang w:val="en-GB"/>
              </w:rPr>
              <w:t xml:space="preserve"> percentile</w:t>
            </w:r>
          </w:p>
        </w:tc>
      </w:tr>
      <w:tr w:rsidR="000911EF" w:rsidRPr="00D7226C" w14:paraId="193DA6B5" w14:textId="77777777">
        <w:tc>
          <w:tcPr>
            <w:tcW w:w="4171" w:type="dxa"/>
          </w:tcPr>
          <w:p w14:paraId="611F764D" w14:textId="77777777" w:rsidR="000911EF" w:rsidRPr="00D7226C" w:rsidRDefault="007026D6" w:rsidP="006471E6">
            <w:pPr>
              <w:pStyle w:val="ListParagraph"/>
              <w:ind w:left="0"/>
              <w:rPr>
                <w:lang w:val="en-GB"/>
              </w:rPr>
            </w:pPr>
            <w:r w:rsidRPr="00D7226C">
              <w:rPr>
                <w:lang w:val="en-GB"/>
              </w:rPr>
              <w:t>Annual high (Q10)</w:t>
            </w:r>
          </w:p>
        </w:tc>
        <w:tc>
          <w:tcPr>
            <w:tcW w:w="4171" w:type="dxa"/>
          </w:tcPr>
          <w:p w14:paraId="0F0A4D21" w14:textId="77777777" w:rsidR="000911EF" w:rsidRPr="00D7226C" w:rsidRDefault="007026D6" w:rsidP="006471E6">
            <w:pPr>
              <w:pStyle w:val="ListParagraph"/>
              <w:ind w:left="0"/>
              <w:rPr>
                <w:lang w:val="en-GB"/>
              </w:rPr>
            </w:pPr>
            <w:r w:rsidRPr="00D7226C">
              <w:rPr>
                <w:lang w:val="en-GB"/>
              </w:rPr>
              <w:t>10</w:t>
            </w:r>
            <w:r w:rsidRPr="00D7226C">
              <w:rPr>
                <w:vertAlign w:val="superscript"/>
                <w:lang w:val="en-GB"/>
              </w:rPr>
              <w:t>th</w:t>
            </w:r>
            <w:r w:rsidRPr="00D7226C">
              <w:rPr>
                <w:lang w:val="en-GB"/>
              </w:rPr>
              <w:t xml:space="preserve"> percentile</w:t>
            </w:r>
          </w:p>
        </w:tc>
      </w:tr>
    </w:tbl>
    <w:p w14:paraId="6D313EAD" w14:textId="77777777" w:rsidR="000911EF" w:rsidRPr="00D7226C" w:rsidRDefault="000911EF" w:rsidP="006471E6">
      <w:pPr>
        <w:pStyle w:val="ListParagraph"/>
        <w:spacing w:after="0" w:line="240" w:lineRule="auto"/>
        <w:rPr>
          <w:lang w:val="en-GB"/>
        </w:rPr>
      </w:pPr>
    </w:p>
    <w:p w14:paraId="153E5349" w14:textId="0EB9F42D" w:rsidR="000911EF" w:rsidRDefault="007026D6" w:rsidP="006471E6">
      <w:pPr>
        <w:pStyle w:val="ListParagraph"/>
        <w:numPr>
          <w:ilvl w:val="0"/>
          <w:numId w:val="3"/>
        </w:numPr>
        <w:spacing w:after="0" w:line="240" w:lineRule="auto"/>
        <w:rPr>
          <w:color w:val="000000" w:themeColor="text1"/>
          <w:lang w:val="en-GB"/>
        </w:rPr>
      </w:pPr>
      <w:r w:rsidRPr="00D7226C">
        <w:rPr>
          <w:color w:val="000000" w:themeColor="text1"/>
          <w:lang w:val="en-GB"/>
        </w:rPr>
        <w:t xml:space="preserve">Water scarcity and water stress are both calculated as ratios. Concerning the water scarcity and water stress indicators, in addition to absolute changes (see “Modus” </w:t>
      </w:r>
      <w:r w:rsidRPr="00D7226C">
        <w:rPr>
          <w:color w:val="000000" w:themeColor="text1"/>
          <w:lang w:val="en-GB"/>
        </w:rPr>
        <w:t>menu), there will also be the option to compute actual index values.</w:t>
      </w:r>
    </w:p>
    <w:p w14:paraId="0ED91A53" w14:textId="77777777" w:rsidR="00147B8B" w:rsidRPr="00D7226C" w:rsidRDefault="00147B8B" w:rsidP="006471E6">
      <w:pPr>
        <w:pStyle w:val="ListParagraph"/>
        <w:spacing w:after="0" w:line="240" w:lineRule="auto"/>
        <w:rPr>
          <w:color w:val="000000" w:themeColor="text1"/>
          <w:lang w:val="en-GB"/>
        </w:rPr>
      </w:pPr>
    </w:p>
    <w:p w14:paraId="130DC24F" w14:textId="77777777" w:rsidR="000911EF" w:rsidRPr="00D7226C" w:rsidRDefault="007026D6" w:rsidP="006471E6">
      <w:pPr>
        <w:pStyle w:val="ListParagraph"/>
        <w:numPr>
          <w:ilvl w:val="0"/>
          <w:numId w:val="3"/>
        </w:numPr>
        <w:spacing w:after="0" w:line="240" w:lineRule="auto"/>
        <w:rPr>
          <w:color w:val="000000" w:themeColor="text1"/>
          <w:lang w:val="en-GB"/>
        </w:rPr>
      </w:pPr>
      <w:r w:rsidRPr="00D7226C">
        <w:rPr>
          <w:color w:val="000000" w:themeColor="text1"/>
          <w:lang w:val="en-GB"/>
        </w:rPr>
        <w:t>Regarding annual actual evapotranspiration (AET) and potential evapotranspiration (PET), the options AET/precipitation and PET/precipitation will be added to the “Statistic” menu, respect</w:t>
      </w:r>
      <w:r w:rsidRPr="00D7226C">
        <w:rPr>
          <w:color w:val="000000" w:themeColor="text1"/>
          <w:lang w:val="en-GB"/>
        </w:rPr>
        <w:t>ively (Fig. 2).</w:t>
      </w:r>
    </w:p>
    <w:p w14:paraId="11E3F950" w14:textId="77777777" w:rsidR="000911EF" w:rsidRPr="00D7226C" w:rsidRDefault="000911EF" w:rsidP="006471E6">
      <w:pPr>
        <w:spacing w:after="0" w:line="240" w:lineRule="auto"/>
        <w:rPr>
          <w:color w:val="000000" w:themeColor="text1"/>
          <w:lang w:val="en-GB"/>
        </w:rPr>
      </w:pPr>
    </w:p>
    <w:p w14:paraId="71E036C5" w14:textId="77777777" w:rsidR="000911EF" w:rsidRPr="00D7226C" w:rsidRDefault="007026D6" w:rsidP="006471E6">
      <w:pPr>
        <w:keepNext/>
        <w:spacing w:after="0" w:line="240" w:lineRule="auto"/>
        <w:jc w:val="center"/>
        <w:rPr>
          <w:lang w:val="en-GB"/>
        </w:rPr>
      </w:pPr>
      <w:r w:rsidRPr="00D7226C">
        <w:rPr>
          <w:noProof/>
          <w:color w:val="000000" w:themeColor="text1"/>
          <w:lang w:val="en-GB"/>
        </w:rPr>
        <w:lastRenderedPageBreak/>
        <w:drawing>
          <wp:inline distT="0" distB="0" distL="0" distR="0" wp14:anchorId="15F9B2C8" wp14:editId="274C7022">
            <wp:extent cx="2149026" cy="2446232"/>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T_statistic_menu.png"/>
                    <pic:cNvPicPr/>
                  </pic:nvPicPr>
                  <pic:blipFill>
                    <a:blip r:embed="rId10">
                      <a:extLst>
                        <a:ext uri="{28A0092B-C50C-407E-A947-70E740481C1C}">
                          <a14:useLocalDpi xmlns:a14="http://schemas.microsoft.com/office/drawing/2010/main" val="0"/>
                        </a:ext>
                      </a:extLst>
                    </a:blip>
                    <a:stretch>
                      <a:fillRect/>
                    </a:stretch>
                  </pic:blipFill>
                  <pic:spPr>
                    <a:xfrm>
                      <a:off x="0" y="0"/>
                      <a:ext cx="2149026" cy="2446232"/>
                    </a:xfrm>
                    <a:prstGeom prst="rect">
                      <a:avLst/>
                    </a:prstGeom>
                  </pic:spPr>
                </pic:pic>
              </a:graphicData>
            </a:graphic>
          </wp:inline>
        </w:drawing>
      </w:r>
    </w:p>
    <w:p w14:paraId="41A2130F" w14:textId="7A7ED822" w:rsidR="000911EF" w:rsidRPr="00D7226C" w:rsidRDefault="007026D6" w:rsidP="006471E6">
      <w:pPr>
        <w:pStyle w:val="Caption"/>
        <w:spacing w:after="0"/>
        <w:rPr>
          <w:color w:val="000000" w:themeColor="text1"/>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2</w:t>
      </w:r>
      <w:r w:rsidRPr="00D7226C">
        <w:rPr>
          <w:lang w:val="en-GB"/>
        </w:rPr>
        <w:fldChar w:fldCharType="end"/>
      </w:r>
      <w:r w:rsidRPr="00D7226C">
        <w:rPr>
          <w:lang w:val="en-GB"/>
        </w:rPr>
        <w:t xml:space="preserve">: </w:t>
      </w:r>
      <w:r w:rsidRPr="00D7226C">
        <w:rPr>
          <w:lang w:val="en-GB"/>
        </w:rPr>
        <w:t>Current options in “Statistic” menu for annual actual evapotranspiration.</w:t>
      </w:r>
    </w:p>
    <w:p w14:paraId="01C20B15" w14:textId="77777777" w:rsidR="000911EF" w:rsidRPr="00D7226C" w:rsidRDefault="000911EF" w:rsidP="006471E6">
      <w:pPr>
        <w:pStyle w:val="Heading2"/>
        <w:spacing w:before="0" w:line="240" w:lineRule="auto"/>
        <w:rPr>
          <w:lang w:val="en-GB"/>
        </w:rPr>
      </w:pPr>
    </w:p>
    <w:p w14:paraId="0C2FD5EF" w14:textId="1A23513C" w:rsidR="000911EF" w:rsidRPr="00D7226C" w:rsidRDefault="007026D6" w:rsidP="006471E6">
      <w:pPr>
        <w:pStyle w:val="Heading2"/>
        <w:numPr>
          <w:ilvl w:val="1"/>
          <w:numId w:val="11"/>
        </w:numPr>
        <w:spacing w:before="0" w:line="240" w:lineRule="auto"/>
        <w:rPr>
          <w:lang w:val="en-GB"/>
        </w:rPr>
      </w:pPr>
      <w:r w:rsidRPr="00D7226C">
        <w:rPr>
          <w:lang w:val="en-GB"/>
        </w:rPr>
        <w:t>User interface</w:t>
      </w:r>
    </w:p>
    <w:p w14:paraId="222EF93C" w14:textId="77777777" w:rsidR="000911EF" w:rsidRPr="00D7226C" w:rsidRDefault="000911EF" w:rsidP="006471E6">
      <w:pPr>
        <w:spacing w:after="0" w:line="240" w:lineRule="auto"/>
        <w:rPr>
          <w:lang w:val="en-GB"/>
        </w:rPr>
      </w:pPr>
    </w:p>
    <w:p w14:paraId="7F1C413C" w14:textId="23B416E5" w:rsidR="000911EF" w:rsidRPr="00D7226C" w:rsidRDefault="007026D6" w:rsidP="006471E6">
      <w:pPr>
        <w:pStyle w:val="Heading3"/>
        <w:numPr>
          <w:ilvl w:val="2"/>
          <w:numId w:val="11"/>
        </w:numPr>
        <w:spacing w:before="0" w:line="240" w:lineRule="auto"/>
        <w:rPr>
          <w:lang w:val="en-GB"/>
        </w:rPr>
      </w:pPr>
      <w:r w:rsidRPr="00D7226C">
        <w:rPr>
          <w:lang w:val="en-GB"/>
        </w:rPr>
        <w:t>Appearance</w:t>
      </w:r>
    </w:p>
    <w:p w14:paraId="79FF9291" w14:textId="77777777" w:rsidR="000911EF" w:rsidRPr="00D7226C" w:rsidRDefault="000911EF" w:rsidP="006471E6">
      <w:pPr>
        <w:spacing w:after="0" w:line="240" w:lineRule="auto"/>
        <w:rPr>
          <w:lang w:val="en-GB"/>
        </w:rPr>
      </w:pPr>
    </w:p>
    <w:p w14:paraId="5CA6BF55" w14:textId="06E002F2" w:rsidR="000911EF" w:rsidRPr="00D7226C" w:rsidRDefault="007026D6" w:rsidP="006471E6">
      <w:pPr>
        <w:pStyle w:val="ListParagraph"/>
        <w:numPr>
          <w:ilvl w:val="0"/>
          <w:numId w:val="4"/>
        </w:numPr>
        <w:spacing w:after="0" w:line="240" w:lineRule="auto"/>
        <w:rPr>
          <w:lang w:val="en-GB"/>
        </w:rPr>
      </w:pPr>
      <w:r w:rsidRPr="00D7226C">
        <w:rPr>
          <w:lang w:val="en-GB"/>
        </w:rPr>
        <w:t xml:space="preserve">In the data viewer, the blue hue of the ocean is too </w:t>
      </w:r>
      <w:proofErr w:type="gramStart"/>
      <w:r w:rsidRPr="00D7226C">
        <w:rPr>
          <w:lang w:val="en-GB"/>
        </w:rPr>
        <w:t>similar to</w:t>
      </w:r>
      <w:proofErr w:type="gramEnd"/>
      <w:r w:rsidRPr="00D7226C">
        <w:rPr>
          <w:lang w:val="en-GB"/>
        </w:rPr>
        <w:t xml:space="preserve"> one of the blue hues </w:t>
      </w:r>
      <w:r w:rsidRPr="00D7226C">
        <w:rPr>
          <w:lang w:val="en-GB"/>
        </w:rPr>
        <w:t xml:space="preserve">included in the legend </w:t>
      </w:r>
      <w:r w:rsidR="00BA7E47" w:rsidRPr="00D7226C">
        <w:rPr>
          <w:lang w:val="en-GB"/>
        </w:rPr>
        <w:t>colour</w:t>
      </w:r>
      <w:r w:rsidRPr="00D7226C">
        <w:rPr>
          <w:lang w:val="en-GB"/>
        </w:rPr>
        <w:t xml:space="preserve"> palette going from red to blue (Fig. 3). Since this can create visual confusion, the blue hue of the ocean will be replaced by </w:t>
      </w:r>
      <w:r w:rsidR="00004260">
        <w:rPr>
          <w:lang w:val="en-GB"/>
        </w:rPr>
        <w:t>a different one</w:t>
      </w:r>
      <w:r w:rsidRPr="00D7226C">
        <w:rPr>
          <w:lang w:val="en-GB"/>
        </w:rPr>
        <w:t>.</w:t>
      </w:r>
    </w:p>
    <w:p w14:paraId="0407070F" w14:textId="77777777" w:rsidR="000911EF" w:rsidRPr="00D7226C" w:rsidRDefault="000911EF" w:rsidP="006471E6">
      <w:pPr>
        <w:spacing w:after="0" w:line="240" w:lineRule="auto"/>
        <w:rPr>
          <w:lang w:val="en-GB"/>
        </w:rPr>
      </w:pPr>
    </w:p>
    <w:p w14:paraId="1CA68280" w14:textId="77777777" w:rsidR="000911EF" w:rsidRPr="00D7226C" w:rsidRDefault="007026D6" w:rsidP="006471E6">
      <w:pPr>
        <w:keepNext/>
        <w:spacing w:after="0" w:line="240" w:lineRule="auto"/>
        <w:jc w:val="center"/>
        <w:rPr>
          <w:lang w:val="en-GB"/>
        </w:rPr>
      </w:pPr>
      <w:r w:rsidRPr="00D7226C">
        <w:rPr>
          <w:noProof/>
          <w:lang w:val="en-GB"/>
        </w:rPr>
        <w:drawing>
          <wp:inline distT="0" distB="0" distL="0" distR="0" wp14:anchorId="3A769B26" wp14:editId="732ACFA0">
            <wp:extent cx="2133785" cy="2339543"/>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_ocean_legend.png"/>
                    <pic:cNvPicPr/>
                  </pic:nvPicPr>
                  <pic:blipFill>
                    <a:blip r:embed="rId11">
                      <a:extLst>
                        <a:ext uri="{28A0092B-C50C-407E-A947-70E740481C1C}">
                          <a14:useLocalDpi xmlns:a14="http://schemas.microsoft.com/office/drawing/2010/main" val="0"/>
                        </a:ext>
                      </a:extLst>
                    </a:blip>
                    <a:stretch>
                      <a:fillRect/>
                    </a:stretch>
                  </pic:blipFill>
                  <pic:spPr>
                    <a:xfrm>
                      <a:off x="0" y="0"/>
                      <a:ext cx="2133785" cy="2339543"/>
                    </a:xfrm>
                    <a:prstGeom prst="rect">
                      <a:avLst/>
                    </a:prstGeom>
                  </pic:spPr>
                </pic:pic>
              </a:graphicData>
            </a:graphic>
          </wp:inline>
        </w:drawing>
      </w:r>
    </w:p>
    <w:p w14:paraId="3AE916E2" w14:textId="5885A37D" w:rsidR="000911EF"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3</w:t>
      </w:r>
      <w:r w:rsidRPr="00D7226C">
        <w:rPr>
          <w:lang w:val="en-GB"/>
        </w:rPr>
        <w:fldChar w:fldCharType="end"/>
      </w:r>
      <w:r w:rsidRPr="00D7226C">
        <w:rPr>
          <w:lang w:val="en-GB"/>
        </w:rPr>
        <w:t xml:space="preserve">: </w:t>
      </w:r>
      <w:r w:rsidRPr="00D7226C">
        <w:rPr>
          <w:lang w:val="en-GB"/>
        </w:rPr>
        <w:t xml:space="preserve">Comparison between the blue hue of the ocean and </w:t>
      </w:r>
      <w:r w:rsidRPr="00D7226C">
        <w:rPr>
          <w:lang w:val="en-GB"/>
        </w:rPr>
        <w:t xml:space="preserve">the blue hues of the legend </w:t>
      </w:r>
      <w:r w:rsidR="00912DCE" w:rsidRPr="00D7226C">
        <w:rPr>
          <w:lang w:val="en-GB"/>
        </w:rPr>
        <w:t>colour</w:t>
      </w:r>
      <w:r w:rsidRPr="00D7226C">
        <w:rPr>
          <w:lang w:val="en-GB"/>
        </w:rPr>
        <w:t xml:space="preserve"> palette going from red to blue.</w:t>
      </w:r>
    </w:p>
    <w:p w14:paraId="75DD6564" w14:textId="77777777" w:rsidR="006471E6" w:rsidRPr="006471E6" w:rsidRDefault="006471E6" w:rsidP="006471E6">
      <w:pPr>
        <w:spacing w:after="0" w:line="240" w:lineRule="auto"/>
        <w:rPr>
          <w:lang w:val="en-GB"/>
        </w:rPr>
      </w:pPr>
    </w:p>
    <w:p w14:paraId="1B1FA04A" w14:textId="77777777" w:rsidR="000911EF" w:rsidRPr="00D7226C" w:rsidRDefault="007026D6" w:rsidP="006471E6">
      <w:pPr>
        <w:pStyle w:val="ListParagraph"/>
        <w:numPr>
          <w:ilvl w:val="0"/>
          <w:numId w:val="4"/>
        </w:numPr>
        <w:spacing w:after="0" w:line="240" w:lineRule="auto"/>
        <w:rPr>
          <w:lang w:val="en-GB"/>
        </w:rPr>
      </w:pPr>
      <w:r w:rsidRPr="00D7226C">
        <w:rPr>
          <w:lang w:val="en-GB"/>
        </w:rPr>
        <w:t>The appearance of the raster cell box (Fig. 4) will be improved (letter fonts and sizes, positioning of the elements, icons etc.).</w:t>
      </w:r>
    </w:p>
    <w:p w14:paraId="2754F59A" w14:textId="77777777" w:rsidR="000911EF" w:rsidRPr="00D7226C" w:rsidRDefault="007026D6" w:rsidP="006471E6">
      <w:pPr>
        <w:keepNext/>
        <w:spacing w:after="0" w:line="240" w:lineRule="auto"/>
        <w:rPr>
          <w:lang w:val="en-GB"/>
        </w:rPr>
      </w:pPr>
      <w:r w:rsidRPr="00D7226C">
        <w:rPr>
          <w:noProof/>
          <w:lang w:val="en-GB"/>
        </w:rPr>
        <w:lastRenderedPageBreak/>
        <w:drawing>
          <wp:inline distT="0" distB="0" distL="0" distR="0" wp14:anchorId="4C6C30A0" wp14:editId="6D923B92">
            <wp:extent cx="5760720" cy="160274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ster_cell_bo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602740"/>
                    </a:xfrm>
                    <a:prstGeom prst="rect">
                      <a:avLst/>
                    </a:prstGeom>
                  </pic:spPr>
                </pic:pic>
              </a:graphicData>
            </a:graphic>
          </wp:inline>
        </w:drawing>
      </w:r>
    </w:p>
    <w:p w14:paraId="015EC9B3" w14:textId="2A1572AE" w:rsidR="000911EF"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4</w:t>
      </w:r>
      <w:r w:rsidRPr="00D7226C">
        <w:rPr>
          <w:lang w:val="en-GB"/>
        </w:rPr>
        <w:fldChar w:fldCharType="end"/>
      </w:r>
      <w:r w:rsidRPr="00D7226C">
        <w:rPr>
          <w:lang w:val="en-GB"/>
        </w:rPr>
        <w:t xml:space="preserve">: </w:t>
      </w:r>
      <w:r w:rsidRPr="00D7226C">
        <w:rPr>
          <w:lang w:val="en-GB"/>
        </w:rPr>
        <w:t xml:space="preserve">Current appearance of </w:t>
      </w:r>
      <w:r w:rsidRPr="00D7226C">
        <w:rPr>
          <w:lang w:val="en-GB"/>
        </w:rPr>
        <w:t>the raster cell box.</w:t>
      </w:r>
    </w:p>
    <w:p w14:paraId="13DD51BC" w14:textId="77777777" w:rsidR="00F2115C" w:rsidRPr="00F2115C" w:rsidRDefault="00F2115C" w:rsidP="00F2115C">
      <w:pPr>
        <w:rPr>
          <w:lang w:val="en-GB"/>
        </w:rPr>
      </w:pPr>
    </w:p>
    <w:p w14:paraId="2C6C86B6" w14:textId="26A6E319" w:rsidR="000911EF" w:rsidRPr="00D7226C" w:rsidRDefault="007026D6" w:rsidP="006471E6">
      <w:pPr>
        <w:pStyle w:val="ListParagraph"/>
        <w:numPr>
          <w:ilvl w:val="0"/>
          <w:numId w:val="4"/>
        </w:numPr>
        <w:spacing w:after="0" w:line="240" w:lineRule="auto"/>
        <w:rPr>
          <w:lang w:val="en-GB"/>
        </w:rPr>
      </w:pPr>
      <w:r w:rsidRPr="00D7226C">
        <w:rPr>
          <w:lang w:val="en-GB"/>
        </w:rPr>
        <w:t xml:space="preserve">The appearance of </w:t>
      </w:r>
      <w:r w:rsidR="00AA2305">
        <w:rPr>
          <w:lang w:val="en-GB"/>
        </w:rPr>
        <w:t xml:space="preserve">the </w:t>
      </w:r>
      <w:r w:rsidRPr="00D7226C">
        <w:rPr>
          <w:lang w:val="en-GB"/>
        </w:rPr>
        <w:t>information box that appears in the bottom right corner of the data viewer when hovering over the map (Fig. 5) will be improved.</w:t>
      </w:r>
    </w:p>
    <w:p w14:paraId="5A78ADD0" w14:textId="77777777" w:rsidR="000911EF" w:rsidRPr="00D7226C" w:rsidRDefault="000911EF" w:rsidP="006471E6">
      <w:pPr>
        <w:spacing w:after="0" w:line="240" w:lineRule="auto"/>
        <w:rPr>
          <w:lang w:val="en-GB"/>
        </w:rPr>
      </w:pPr>
    </w:p>
    <w:p w14:paraId="62B0E4A8" w14:textId="77777777" w:rsidR="000911EF" w:rsidRPr="00D7226C" w:rsidRDefault="007026D6" w:rsidP="006471E6">
      <w:pPr>
        <w:keepNext/>
        <w:spacing w:after="0" w:line="240" w:lineRule="auto"/>
        <w:jc w:val="center"/>
        <w:rPr>
          <w:lang w:val="en-GB"/>
        </w:rPr>
      </w:pPr>
      <w:r w:rsidRPr="00D7226C">
        <w:rPr>
          <w:noProof/>
          <w:lang w:val="en-GB"/>
        </w:rPr>
        <w:drawing>
          <wp:inline distT="0" distB="0" distL="0" distR="0" wp14:anchorId="1E043AE4" wp14:editId="2353F135">
            <wp:extent cx="1844200" cy="304826"/>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t_lon_box.png"/>
                    <pic:cNvPicPr/>
                  </pic:nvPicPr>
                  <pic:blipFill>
                    <a:blip r:embed="rId13">
                      <a:extLst>
                        <a:ext uri="{28A0092B-C50C-407E-A947-70E740481C1C}">
                          <a14:useLocalDpi xmlns:a14="http://schemas.microsoft.com/office/drawing/2010/main" val="0"/>
                        </a:ext>
                      </a:extLst>
                    </a:blip>
                    <a:stretch>
                      <a:fillRect/>
                    </a:stretch>
                  </pic:blipFill>
                  <pic:spPr>
                    <a:xfrm>
                      <a:off x="0" y="0"/>
                      <a:ext cx="1844200" cy="304826"/>
                    </a:xfrm>
                    <a:prstGeom prst="rect">
                      <a:avLst/>
                    </a:prstGeom>
                  </pic:spPr>
                </pic:pic>
              </a:graphicData>
            </a:graphic>
          </wp:inline>
        </w:drawing>
      </w:r>
    </w:p>
    <w:p w14:paraId="3740EC54" w14:textId="2C954894" w:rsidR="000911EF"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5</w:t>
      </w:r>
      <w:r w:rsidRPr="00D7226C">
        <w:rPr>
          <w:lang w:val="en-GB"/>
        </w:rPr>
        <w:fldChar w:fldCharType="end"/>
      </w:r>
      <w:r w:rsidRPr="00D7226C">
        <w:rPr>
          <w:lang w:val="en-GB"/>
        </w:rPr>
        <w:t xml:space="preserve">: </w:t>
      </w:r>
      <w:r w:rsidRPr="00D7226C">
        <w:rPr>
          <w:lang w:val="en-GB"/>
        </w:rPr>
        <w:t>Current appearance of the information box that app</w:t>
      </w:r>
      <w:r w:rsidRPr="00D7226C">
        <w:rPr>
          <w:lang w:val="en-GB"/>
        </w:rPr>
        <w:t>ears in the bottom right corner of the data viewer when hovering over the map.</w:t>
      </w:r>
    </w:p>
    <w:p w14:paraId="760E20D7" w14:textId="77777777" w:rsidR="00F2115C" w:rsidRPr="00F2115C" w:rsidRDefault="00F2115C" w:rsidP="00F2115C">
      <w:pPr>
        <w:rPr>
          <w:lang w:val="en-GB"/>
        </w:rPr>
      </w:pPr>
    </w:p>
    <w:p w14:paraId="50B7308D" w14:textId="130E8AED" w:rsidR="000911EF" w:rsidRPr="00D7226C" w:rsidRDefault="007026D6" w:rsidP="006471E6">
      <w:pPr>
        <w:pStyle w:val="Heading3"/>
        <w:numPr>
          <w:ilvl w:val="2"/>
          <w:numId w:val="11"/>
        </w:numPr>
        <w:spacing w:before="0" w:line="240" w:lineRule="auto"/>
        <w:rPr>
          <w:lang w:val="en-GB"/>
        </w:rPr>
      </w:pPr>
      <w:r w:rsidRPr="00D7226C">
        <w:rPr>
          <w:lang w:val="en-GB"/>
        </w:rPr>
        <w:t>Display errors and visual artifacts</w:t>
      </w:r>
    </w:p>
    <w:p w14:paraId="1ECE697E" w14:textId="77777777" w:rsidR="000911EF" w:rsidRPr="00D7226C" w:rsidRDefault="000911EF" w:rsidP="006471E6">
      <w:pPr>
        <w:spacing w:after="0" w:line="240" w:lineRule="auto"/>
        <w:rPr>
          <w:lang w:val="en-GB"/>
        </w:rPr>
      </w:pPr>
    </w:p>
    <w:p w14:paraId="6FB1B933" w14:textId="77777777" w:rsidR="000911EF" w:rsidRPr="00D7226C" w:rsidRDefault="007026D6" w:rsidP="006471E6">
      <w:pPr>
        <w:pStyle w:val="ListParagraph"/>
        <w:numPr>
          <w:ilvl w:val="0"/>
          <w:numId w:val="9"/>
        </w:numPr>
        <w:spacing w:after="0" w:line="240" w:lineRule="auto"/>
        <w:rPr>
          <w:lang w:val="en-GB"/>
        </w:rPr>
      </w:pPr>
      <w:r w:rsidRPr="00D7226C">
        <w:rPr>
          <w:lang w:val="en-GB"/>
        </w:rPr>
        <w:t xml:space="preserve">In some cases, the legend title and the values corresponding to the legend classes are not correctly displayed (Fig. 6). </w:t>
      </w:r>
    </w:p>
    <w:p w14:paraId="101ABCBC" w14:textId="77777777" w:rsidR="000911EF" w:rsidRPr="00D7226C" w:rsidRDefault="000911EF" w:rsidP="006471E6">
      <w:pPr>
        <w:spacing w:after="0" w:line="240" w:lineRule="auto"/>
        <w:rPr>
          <w:lang w:val="en-GB"/>
        </w:rPr>
      </w:pPr>
    </w:p>
    <w:p w14:paraId="6CC73EA7" w14:textId="77777777" w:rsidR="000911EF" w:rsidRPr="00D7226C" w:rsidRDefault="007026D6" w:rsidP="006471E6">
      <w:pPr>
        <w:keepNext/>
        <w:spacing w:after="0" w:line="240" w:lineRule="auto"/>
        <w:jc w:val="center"/>
        <w:rPr>
          <w:lang w:val="en-GB"/>
        </w:rPr>
      </w:pPr>
      <w:r w:rsidRPr="00D7226C">
        <w:rPr>
          <w:noProof/>
          <w:lang w:val="en-GB"/>
        </w:rPr>
        <w:drawing>
          <wp:inline distT="0" distB="0" distL="0" distR="0" wp14:anchorId="66593074" wp14:editId="06A4C6CF">
            <wp:extent cx="815411" cy="190516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gend_title_display_error.png"/>
                    <pic:cNvPicPr/>
                  </pic:nvPicPr>
                  <pic:blipFill>
                    <a:blip r:embed="rId14">
                      <a:extLst>
                        <a:ext uri="{28A0092B-C50C-407E-A947-70E740481C1C}">
                          <a14:useLocalDpi xmlns:a14="http://schemas.microsoft.com/office/drawing/2010/main" val="0"/>
                        </a:ext>
                      </a:extLst>
                    </a:blip>
                    <a:stretch>
                      <a:fillRect/>
                    </a:stretch>
                  </pic:blipFill>
                  <pic:spPr>
                    <a:xfrm>
                      <a:off x="0" y="0"/>
                      <a:ext cx="815411" cy="1905165"/>
                    </a:xfrm>
                    <a:prstGeom prst="rect">
                      <a:avLst/>
                    </a:prstGeom>
                  </pic:spPr>
                </pic:pic>
              </a:graphicData>
            </a:graphic>
          </wp:inline>
        </w:drawing>
      </w:r>
    </w:p>
    <w:p w14:paraId="32BB7C03" w14:textId="2AFD0A8A" w:rsidR="000911EF" w:rsidRPr="00D7226C" w:rsidRDefault="007026D6" w:rsidP="006471E6">
      <w:pPr>
        <w:pStyle w:val="Caption"/>
        <w:spacing w:after="0"/>
        <w:rPr>
          <w:i/>
          <w:lang w:val="en-GB"/>
        </w:rPr>
      </w:pPr>
      <w:r w:rsidRPr="00D7226C">
        <w:rPr>
          <w:lang w:val="en-GB"/>
        </w:rPr>
        <w:t xml:space="preserve">Figure </w:t>
      </w:r>
      <w:r w:rsidRPr="00D7226C">
        <w:rPr>
          <w:lang w:val="en-GB"/>
        </w:rPr>
        <w:fldChar w:fldCharType="begin"/>
      </w:r>
      <w:r w:rsidRPr="00D7226C">
        <w:rPr>
          <w:lang w:val="en-GB"/>
        </w:rPr>
        <w:instrText xml:space="preserve"> SEQ Fig</w:instrText>
      </w:r>
      <w:r w:rsidRPr="00D7226C">
        <w:rPr>
          <w:lang w:val="en-GB"/>
        </w:rPr>
        <w:instrText xml:space="preserve">ure \* ARABIC </w:instrText>
      </w:r>
      <w:r w:rsidRPr="00D7226C">
        <w:rPr>
          <w:lang w:val="en-GB"/>
        </w:rPr>
        <w:fldChar w:fldCharType="separate"/>
      </w:r>
      <w:r w:rsidR="006A5C07" w:rsidRPr="00D7226C">
        <w:rPr>
          <w:noProof/>
          <w:lang w:val="en-GB"/>
        </w:rPr>
        <w:t>6</w:t>
      </w:r>
      <w:r w:rsidRPr="00D7226C">
        <w:rPr>
          <w:lang w:val="en-GB"/>
        </w:rPr>
        <w:fldChar w:fldCharType="end"/>
      </w:r>
      <w:r w:rsidRPr="00D7226C">
        <w:rPr>
          <w:lang w:val="en-GB"/>
        </w:rPr>
        <w:t xml:space="preserve">: </w:t>
      </w:r>
      <w:r w:rsidRPr="00D7226C">
        <w:rPr>
          <w:lang w:val="en-GB"/>
        </w:rPr>
        <w:t>Legend display errors.</w:t>
      </w:r>
    </w:p>
    <w:p w14:paraId="5D9155EE" w14:textId="77777777" w:rsidR="000911EF" w:rsidRPr="00D7226C" w:rsidRDefault="000911EF" w:rsidP="006471E6">
      <w:pPr>
        <w:spacing w:after="0" w:line="240" w:lineRule="auto"/>
        <w:rPr>
          <w:lang w:val="en-GB"/>
        </w:rPr>
      </w:pPr>
    </w:p>
    <w:p w14:paraId="2B9A794F" w14:textId="07B4926D" w:rsidR="000911EF" w:rsidRDefault="007026D6" w:rsidP="006471E6">
      <w:pPr>
        <w:pStyle w:val="ListParagraph"/>
        <w:numPr>
          <w:ilvl w:val="0"/>
          <w:numId w:val="9"/>
        </w:numPr>
        <w:spacing w:after="0" w:line="240" w:lineRule="auto"/>
        <w:rPr>
          <w:lang w:val="en-GB"/>
        </w:rPr>
      </w:pPr>
      <w:r w:rsidRPr="00D7226C">
        <w:rPr>
          <w:lang w:val="en-GB"/>
        </w:rPr>
        <w:t>Regarding relative changes in mean annual water availability, there is a bug that prevents the data from being displayed in basin aggregation mode.</w:t>
      </w:r>
    </w:p>
    <w:p w14:paraId="35620536" w14:textId="77777777" w:rsidR="008C605C" w:rsidRPr="008C605C" w:rsidRDefault="008C605C" w:rsidP="008C605C">
      <w:pPr>
        <w:spacing w:after="0" w:line="240" w:lineRule="auto"/>
        <w:ind w:left="360"/>
        <w:rPr>
          <w:lang w:val="en-GB"/>
        </w:rPr>
      </w:pPr>
    </w:p>
    <w:p w14:paraId="602C8A1D" w14:textId="77777777" w:rsidR="000911EF" w:rsidRPr="00D7226C" w:rsidRDefault="007026D6" w:rsidP="006471E6">
      <w:pPr>
        <w:pStyle w:val="ListParagraph"/>
        <w:numPr>
          <w:ilvl w:val="0"/>
          <w:numId w:val="9"/>
        </w:numPr>
        <w:spacing w:after="0" w:line="240" w:lineRule="auto"/>
        <w:rPr>
          <w:lang w:val="en-GB"/>
        </w:rPr>
      </w:pPr>
      <w:r w:rsidRPr="00D7226C">
        <w:rPr>
          <w:lang w:val="en-GB"/>
        </w:rPr>
        <w:t>R</w:t>
      </w:r>
      <w:r w:rsidRPr="00D7226C">
        <w:rPr>
          <w:lang w:val="en-GB"/>
        </w:rPr>
        <w:t xml:space="preserve">egarding the raster cell box, some users have reported a </w:t>
      </w:r>
      <w:r w:rsidRPr="00D7226C">
        <w:rPr>
          <w:lang w:val="en-GB"/>
        </w:rPr>
        <w:t>display error as shown in Fig. 7.</w:t>
      </w:r>
    </w:p>
    <w:p w14:paraId="27BB6024" w14:textId="77777777" w:rsidR="000911EF" w:rsidRPr="00D7226C" w:rsidRDefault="007026D6" w:rsidP="006471E6">
      <w:pPr>
        <w:keepNext/>
        <w:spacing w:after="0" w:line="240" w:lineRule="auto"/>
        <w:jc w:val="center"/>
        <w:rPr>
          <w:lang w:val="en-GB"/>
        </w:rPr>
      </w:pPr>
      <w:r w:rsidRPr="00D7226C">
        <w:rPr>
          <w:noProof/>
          <w:lang w:val="en-GB"/>
        </w:rPr>
        <w:lastRenderedPageBreak/>
        <w:drawing>
          <wp:inline distT="0" distB="0" distL="0" distR="0" wp14:anchorId="7A6B9F8E" wp14:editId="0DD4F8CF">
            <wp:extent cx="4369714" cy="2120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_bug_raster_box.png"/>
                    <pic:cNvPicPr/>
                  </pic:nvPicPr>
                  <pic:blipFill rotWithShape="1">
                    <a:blip r:embed="rId15" cstate="print">
                      <a:extLst>
                        <a:ext uri="{28A0092B-C50C-407E-A947-70E740481C1C}">
                          <a14:useLocalDpi xmlns:a14="http://schemas.microsoft.com/office/drawing/2010/main" val="0"/>
                        </a:ext>
                      </a:extLst>
                    </a:blip>
                    <a:srcRect b="16936"/>
                    <a:stretch/>
                  </pic:blipFill>
                  <pic:spPr bwMode="auto">
                    <a:xfrm>
                      <a:off x="0" y="0"/>
                      <a:ext cx="4395741" cy="2133532"/>
                    </a:xfrm>
                    <a:prstGeom prst="rect">
                      <a:avLst/>
                    </a:prstGeom>
                    <a:ln>
                      <a:noFill/>
                    </a:ln>
                    <a:extLst>
                      <a:ext uri="{53640926-AAD7-44D8-BBD7-CCE9431645EC}">
                        <a14:shadowObscured xmlns:a14="http://schemas.microsoft.com/office/drawing/2010/main"/>
                      </a:ext>
                    </a:extLst>
                  </pic:spPr>
                </pic:pic>
              </a:graphicData>
            </a:graphic>
          </wp:inline>
        </w:drawing>
      </w:r>
    </w:p>
    <w:p w14:paraId="5A64043E" w14:textId="2CC67887" w:rsidR="000911EF"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7</w:t>
      </w:r>
      <w:r w:rsidRPr="00D7226C">
        <w:rPr>
          <w:lang w:val="en-GB"/>
        </w:rPr>
        <w:fldChar w:fldCharType="end"/>
      </w:r>
      <w:r w:rsidRPr="00D7226C">
        <w:rPr>
          <w:lang w:val="en-GB"/>
        </w:rPr>
        <w:t xml:space="preserve">: </w:t>
      </w:r>
      <w:r w:rsidRPr="00D7226C">
        <w:rPr>
          <w:lang w:val="en-GB"/>
        </w:rPr>
        <w:t>Display error of the raster cell box.</w:t>
      </w:r>
    </w:p>
    <w:p w14:paraId="550AA430" w14:textId="77777777" w:rsidR="008C605C" w:rsidRPr="008C605C" w:rsidRDefault="008C605C" w:rsidP="008C605C">
      <w:pPr>
        <w:rPr>
          <w:lang w:val="en-GB"/>
        </w:rPr>
      </w:pPr>
    </w:p>
    <w:p w14:paraId="4A039D15" w14:textId="38C911A6" w:rsidR="000911EF" w:rsidRPr="00D7226C" w:rsidRDefault="007026D6" w:rsidP="006471E6">
      <w:pPr>
        <w:pStyle w:val="ListParagraph"/>
        <w:numPr>
          <w:ilvl w:val="0"/>
          <w:numId w:val="9"/>
        </w:numPr>
        <w:spacing w:after="0" w:line="240" w:lineRule="auto"/>
        <w:rPr>
          <w:lang w:val="en-GB"/>
        </w:rPr>
      </w:pPr>
      <w:r w:rsidRPr="00D7226C">
        <w:rPr>
          <w:lang w:val="en-GB"/>
        </w:rPr>
        <w:t xml:space="preserve">There is a visual artifact in country aggregation mode that affects the border grid cells (Fig. 8). This is </w:t>
      </w:r>
      <w:r w:rsidR="008B4830" w:rsidRPr="00D7226C">
        <w:rPr>
          <w:lang w:val="en-GB"/>
        </w:rPr>
        <w:t>because</w:t>
      </w:r>
      <w:r w:rsidRPr="00D7226C">
        <w:rPr>
          <w:lang w:val="en-GB"/>
        </w:rPr>
        <w:t xml:space="preserve"> these cells </w:t>
      </w:r>
      <w:r w:rsidRPr="00D7226C">
        <w:rPr>
          <w:lang w:val="en-GB"/>
        </w:rPr>
        <w:t>contain area belonging to more than one country. In the next release of the portal, this artifact will be removed by assigning each border cell to the country with the largest area.</w:t>
      </w:r>
    </w:p>
    <w:p w14:paraId="07AE1150" w14:textId="77777777" w:rsidR="000911EF" w:rsidRPr="00D7226C" w:rsidRDefault="000911EF" w:rsidP="006471E6">
      <w:pPr>
        <w:spacing w:after="0" w:line="240" w:lineRule="auto"/>
        <w:rPr>
          <w:lang w:val="en-GB"/>
        </w:rPr>
      </w:pPr>
    </w:p>
    <w:p w14:paraId="3BDAE601" w14:textId="77777777" w:rsidR="000911EF" w:rsidRPr="00D7226C" w:rsidRDefault="007026D6" w:rsidP="006471E6">
      <w:pPr>
        <w:keepNext/>
        <w:spacing w:after="0" w:line="240" w:lineRule="auto"/>
        <w:jc w:val="center"/>
        <w:rPr>
          <w:lang w:val="en-GB"/>
        </w:rPr>
      </w:pPr>
      <w:r w:rsidRPr="00D7226C">
        <w:rPr>
          <w:noProof/>
          <w:lang w:val="en-GB"/>
        </w:rPr>
        <w:drawing>
          <wp:inline distT="0" distB="0" distL="0" distR="0" wp14:anchorId="3E59D82B" wp14:editId="17C6C197">
            <wp:extent cx="3314987" cy="266723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ntry_visual_artifact.png"/>
                    <pic:cNvPicPr/>
                  </pic:nvPicPr>
                  <pic:blipFill>
                    <a:blip r:embed="rId16">
                      <a:extLst>
                        <a:ext uri="{28A0092B-C50C-407E-A947-70E740481C1C}">
                          <a14:useLocalDpi xmlns:a14="http://schemas.microsoft.com/office/drawing/2010/main" val="0"/>
                        </a:ext>
                      </a:extLst>
                    </a:blip>
                    <a:stretch>
                      <a:fillRect/>
                    </a:stretch>
                  </pic:blipFill>
                  <pic:spPr>
                    <a:xfrm>
                      <a:off x="0" y="0"/>
                      <a:ext cx="3314987" cy="2667231"/>
                    </a:xfrm>
                    <a:prstGeom prst="rect">
                      <a:avLst/>
                    </a:prstGeom>
                  </pic:spPr>
                </pic:pic>
              </a:graphicData>
            </a:graphic>
          </wp:inline>
        </w:drawing>
      </w:r>
    </w:p>
    <w:p w14:paraId="57B69A31" w14:textId="1449BAC7" w:rsidR="000911EF" w:rsidRDefault="007026D6"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006A5C07" w:rsidRPr="00D7226C">
        <w:rPr>
          <w:noProof/>
          <w:lang w:val="en-GB"/>
        </w:rPr>
        <w:t>8</w:t>
      </w:r>
      <w:r w:rsidRPr="00D7226C">
        <w:rPr>
          <w:lang w:val="en-GB"/>
        </w:rPr>
        <w:fldChar w:fldCharType="end"/>
      </w:r>
      <w:r w:rsidRPr="00D7226C">
        <w:rPr>
          <w:lang w:val="en-GB"/>
        </w:rPr>
        <w:t xml:space="preserve">: </w:t>
      </w:r>
      <w:r w:rsidRPr="00D7226C">
        <w:rPr>
          <w:lang w:val="en-GB"/>
        </w:rPr>
        <w:t>Visual artifact in country aggregati</w:t>
      </w:r>
      <w:r w:rsidRPr="00D7226C">
        <w:rPr>
          <w:lang w:val="en-GB"/>
        </w:rPr>
        <w:t>on mode.</w:t>
      </w:r>
    </w:p>
    <w:p w14:paraId="6B8F2900" w14:textId="77777777" w:rsidR="008C605C" w:rsidRPr="008C605C" w:rsidRDefault="008C605C" w:rsidP="008C605C">
      <w:pPr>
        <w:rPr>
          <w:lang w:val="en-GB"/>
        </w:rPr>
      </w:pPr>
    </w:p>
    <w:p w14:paraId="13461DE0" w14:textId="0DBFD044" w:rsidR="000911EF" w:rsidRPr="00D7226C" w:rsidRDefault="007026D6" w:rsidP="006471E6">
      <w:pPr>
        <w:pStyle w:val="Heading3"/>
        <w:numPr>
          <w:ilvl w:val="2"/>
          <w:numId w:val="11"/>
        </w:numPr>
        <w:spacing w:before="0" w:line="240" w:lineRule="auto"/>
        <w:rPr>
          <w:lang w:val="en-GB"/>
        </w:rPr>
      </w:pPr>
      <w:r w:rsidRPr="00D7226C">
        <w:rPr>
          <w:lang w:val="en-GB"/>
        </w:rPr>
        <w:t>Defective and/or missing functions</w:t>
      </w:r>
    </w:p>
    <w:p w14:paraId="03F4C636" w14:textId="77777777" w:rsidR="000911EF" w:rsidRPr="00D7226C" w:rsidRDefault="000911EF" w:rsidP="006471E6">
      <w:pPr>
        <w:spacing w:after="0" w:line="240" w:lineRule="auto"/>
        <w:rPr>
          <w:lang w:val="en-GB"/>
        </w:rPr>
      </w:pPr>
    </w:p>
    <w:p w14:paraId="6064C30F" w14:textId="6E24D47E" w:rsidR="000911EF" w:rsidRDefault="007026D6" w:rsidP="006471E6">
      <w:pPr>
        <w:pStyle w:val="ListParagraph"/>
        <w:numPr>
          <w:ilvl w:val="0"/>
          <w:numId w:val="10"/>
        </w:numPr>
        <w:spacing w:after="0" w:line="240" w:lineRule="auto"/>
        <w:rPr>
          <w:lang w:val="en-GB"/>
        </w:rPr>
      </w:pPr>
      <w:r w:rsidRPr="00D7226C">
        <w:rPr>
          <w:lang w:val="en-GB"/>
        </w:rPr>
        <w:t>The download function is not working yet.</w:t>
      </w:r>
    </w:p>
    <w:p w14:paraId="15F8CA68" w14:textId="77777777" w:rsidR="008C605C" w:rsidRPr="00D7226C" w:rsidRDefault="008C605C" w:rsidP="008C605C">
      <w:pPr>
        <w:pStyle w:val="ListParagraph"/>
        <w:spacing w:after="0" w:line="240" w:lineRule="auto"/>
        <w:rPr>
          <w:lang w:val="en-GB"/>
        </w:rPr>
      </w:pPr>
    </w:p>
    <w:p w14:paraId="149BEE31" w14:textId="7AE8AC8A" w:rsidR="000911EF" w:rsidRDefault="007026D6" w:rsidP="006471E6">
      <w:pPr>
        <w:pStyle w:val="ListParagraph"/>
        <w:numPr>
          <w:ilvl w:val="0"/>
          <w:numId w:val="10"/>
        </w:numPr>
        <w:spacing w:after="0" w:line="240" w:lineRule="auto"/>
        <w:rPr>
          <w:lang w:val="en-GB"/>
        </w:rPr>
      </w:pPr>
      <w:r w:rsidRPr="00D7226C">
        <w:rPr>
          <w:lang w:val="en-GB"/>
        </w:rPr>
        <w:t xml:space="preserve">The header of the raster cell box (Fig. 4) will not only give </w:t>
      </w:r>
      <w:r w:rsidR="00AF538B">
        <w:rPr>
          <w:lang w:val="en-GB"/>
        </w:rPr>
        <w:t>information on the</w:t>
      </w:r>
      <w:r w:rsidRPr="00D7226C">
        <w:rPr>
          <w:lang w:val="en-GB"/>
        </w:rPr>
        <w:t xml:space="preserve"> catchment area, but also </w:t>
      </w:r>
      <w:r w:rsidR="00AF538B">
        <w:rPr>
          <w:lang w:val="en-GB"/>
        </w:rPr>
        <w:t xml:space="preserve">on </w:t>
      </w:r>
      <w:r w:rsidRPr="00D7226C">
        <w:rPr>
          <w:lang w:val="en-GB"/>
        </w:rPr>
        <w:t>the catchment name</w:t>
      </w:r>
      <w:r w:rsidRPr="00D7226C">
        <w:rPr>
          <w:lang w:val="en-GB"/>
        </w:rPr>
        <w:t>.</w:t>
      </w:r>
    </w:p>
    <w:p w14:paraId="4A5B5845" w14:textId="77777777" w:rsidR="008C605C" w:rsidRPr="008C605C" w:rsidRDefault="008C605C" w:rsidP="008C605C">
      <w:pPr>
        <w:spacing w:after="0" w:line="240" w:lineRule="auto"/>
        <w:rPr>
          <w:lang w:val="en-GB"/>
        </w:rPr>
      </w:pPr>
    </w:p>
    <w:p w14:paraId="7B4A98E9" w14:textId="4B303546" w:rsidR="006A5C07" w:rsidRPr="00D7226C" w:rsidRDefault="0006023E" w:rsidP="006471E6">
      <w:pPr>
        <w:pStyle w:val="ListParagraph"/>
        <w:numPr>
          <w:ilvl w:val="0"/>
          <w:numId w:val="10"/>
        </w:numPr>
        <w:spacing w:after="0" w:line="240" w:lineRule="auto"/>
        <w:rPr>
          <w:lang w:val="en-GB"/>
        </w:rPr>
      </w:pPr>
      <w:r w:rsidRPr="00D7226C">
        <w:rPr>
          <w:lang w:val="en-GB"/>
        </w:rPr>
        <w:t>In the next release of the portal, the “Reliability” slider will include a box to enter the value manually, like the “Basin Size” slider (Fig. 9).</w:t>
      </w:r>
    </w:p>
    <w:p w14:paraId="2E410CE2" w14:textId="77777777" w:rsidR="006A5C07" w:rsidRPr="00D7226C" w:rsidRDefault="006A5C07" w:rsidP="006471E6">
      <w:pPr>
        <w:keepNext/>
        <w:spacing w:after="0" w:line="240" w:lineRule="auto"/>
        <w:jc w:val="center"/>
        <w:rPr>
          <w:lang w:val="en-GB"/>
        </w:rPr>
      </w:pPr>
      <w:r w:rsidRPr="00D7226C">
        <w:rPr>
          <w:noProof/>
          <w:lang w:val="en-GB"/>
        </w:rPr>
        <w:lastRenderedPageBreak/>
        <w:drawing>
          <wp:inline distT="0" distB="0" distL="0" distR="0" wp14:anchorId="0C902912" wp14:editId="510B61C5">
            <wp:extent cx="2565283" cy="1328008"/>
            <wp:effectExtent l="0" t="0" r="635" b="57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89202" cy="1340390"/>
                    </a:xfrm>
                    <a:prstGeom prst="rect">
                      <a:avLst/>
                    </a:prstGeom>
                  </pic:spPr>
                </pic:pic>
              </a:graphicData>
            </a:graphic>
          </wp:inline>
        </w:drawing>
      </w:r>
    </w:p>
    <w:p w14:paraId="33045D33" w14:textId="7C7A8024" w:rsidR="006A5C07" w:rsidRPr="00D7226C" w:rsidRDefault="006A5C07" w:rsidP="006471E6">
      <w:pPr>
        <w:pStyle w:val="Caption"/>
        <w:spacing w:after="0"/>
        <w:rPr>
          <w:lang w:val="en-GB"/>
        </w:rPr>
      </w:pPr>
      <w:r w:rsidRPr="00D7226C">
        <w:rPr>
          <w:lang w:val="en-GB"/>
        </w:rPr>
        <w:t xml:space="preserve">Figure </w:t>
      </w:r>
      <w:r w:rsidRPr="00D7226C">
        <w:rPr>
          <w:lang w:val="en-GB"/>
        </w:rPr>
        <w:fldChar w:fldCharType="begin"/>
      </w:r>
      <w:r w:rsidRPr="00D7226C">
        <w:rPr>
          <w:lang w:val="en-GB"/>
        </w:rPr>
        <w:instrText xml:space="preserve"> SEQ Figure \* ARABIC </w:instrText>
      </w:r>
      <w:r w:rsidRPr="00D7226C">
        <w:rPr>
          <w:lang w:val="en-GB"/>
        </w:rPr>
        <w:fldChar w:fldCharType="separate"/>
      </w:r>
      <w:r w:rsidRPr="00D7226C">
        <w:rPr>
          <w:lang w:val="en-GB"/>
        </w:rPr>
        <w:t>9</w:t>
      </w:r>
      <w:r w:rsidRPr="00D7226C">
        <w:rPr>
          <w:lang w:val="en-GB"/>
        </w:rPr>
        <w:fldChar w:fldCharType="end"/>
      </w:r>
      <w:r w:rsidRPr="00D7226C">
        <w:rPr>
          <w:lang w:val="en-GB"/>
        </w:rPr>
        <w:t xml:space="preserve">: Sliders </w:t>
      </w:r>
      <w:r w:rsidRPr="00D7226C">
        <w:rPr>
          <w:lang w:val="en-GB"/>
        </w:rPr>
        <w:t>“</w:t>
      </w:r>
      <w:r w:rsidRPr="00D7226C">
        <w:rPr>
          <w:lang w:val="en-GB"/>
        </w:rPr>
        <w:t xml:space="preserve">Basin Size” and </w:t>
      </w:r>
      <w:r w:rsidRPr="00D7226C">
        <w:rPr>
          <w:lang w:val="en-GB"/>
        </w:rPr>
        <w:t>“</w:t>
      </w:r>
      <w:r w:rsidRPr="00D7226C">
        <w:rPr>
          <w:lang w:val="en-GB"/>
        </w:rPr>
        <w:t>Reliability”.</w:t>
      </w:r>
    </w:p>
    <w:sectPr w:rsidR="006A5C07" w:rsidRPr="00D7226C">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2D1C" w14:textId="77777777" w:rsidR="007026D6" w:rsidRDefault="007026D6">
      <w:pPr>
        <w:spacing w:after="0" w:line="240" w:lineRule="auto"/>
      </w:pPr>
      <w:r>
        <w:separator/>
      </w:r>
    </w:p>
  </w:endnote>
  <w:endnote w:type="continuationSeparator" w:id="0">
    <w:p w14:paraId="7893B257" w14:textId="77777777" w:rsidR="007026D6" w:rsidRDefault="0070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81F" w14:textId="0F168F07" w:rsidR="000911EF" w:rsidRDefault="007026D6">
    <w:pPr>
      <w:pStyle w:val="Footer"/>
      <w:rPr>
        <w:sz w:val="20"/>
        <w:lang w:val="en-GB"/>
      </w:rPr>
    </w:pPr>
    <w:r>
      <w:rPr>
        <w:sz w:val="20"/>
        <w:lang w:val="en-GB"/>
      </w:rPr>
      <w:t xml:space="preserve">Abbreviations: </w:t>
    </w:r>
    <w:r>
      <w:rPr>
        <w:sz w:val="20"/>
        <w:vertAlign w:val="superscript"/>
        <w:lang w:val="en-GB"/>
      </w:rPr>
      <w:t xml:space="preserve">1 </w:t>
    </w:r>
    <w:r>
      <w:rPr>
        <w:sz w:val="20"/>
        <w:lang w:val="en-GB"/>
      </w:rPr>
      <w:t xml:space="preserve">Representative Concentration Pathways, </w:t>
    </w:r>
    <w:r>
      <w:rPr>
        <w:sz w:val="20"/>
        <w:vertAlign w:val="superscript"/>
        <w:lang w:val="en-GB"/>
      </w:rPr>
      <w:t xml:space="preserve">2 </w:t>
    </w:r>
    <w:r>
      <w:rPr>
        <w:sz w:val="20"/>
        <w:lang w:val="en-GB"/>
      </w:rPr>
      <w:t xml:space="preserve">General Circulation Models, </w:t>
    </w:r>
    <w:r>
      <w:rPr>
        <w:sz w:val="20"/>
        <w:vertAlign w:val="superscript"/>
        <w:lang w:val="en-GB"/>
      </w:rPr>
      <w:t xml:space="preserve">3 </w:t>
    </w:r>
    <w:r>
      <w:rPr>
        <w:sz w:val="20"/>
        <w:lang w:val="en-GB"/>
      </w:rPr>
      <w:t xml:space="preserve">Global Hydrological Models, </w:t>
    </w:r>
    <w:r>
      <w:rPr>
        <w:sz w:val="20"/>
        <w:vertAlign w:val="superscript"/>
        <w:lang w:val="en-GB"/>
      </w:rPr>
      <w:t>4</w:t>
    </w:r>
    <w:r>
      <w:rPr>
        <w:sz w:val="20"/>
        <w:lang w:val="en-GB"/>
      </w:rPr>
      <w:t xml:space="preserve"> Potential evapotranspiration based on </w:t>
    </w:r>
    <w:hyperlink r:id="rId1" w:history="1">
      <w:r w:rsidRPr="00BA7E47">
        <w:rPr>
          <w:rStyle w:val="Hyperlink"/>
          <w:sz w:val="20"/>
          <w:lang w:val="en-GB"/>
        </w:rPr>
        <w:t xml:space="preserve">Milly and </w:t>
      </w:r>
      <w:r w:rsidRPr="00BA7E47">
        <w:rPr>
          <w:rStyle w:val="Hyperlink"/>
          <w:sz w:val="20"/>
          <w:lang w:val="en-GB"/>
        </w:rPr>
        <w:t>D</w:t>
      </w:r>
      <w:r w:rsidRPr="00BA7E47">
        <w:rPr>
          <w:rStyle w:val="Hyperlink"/>
          <w:sz w:val="20"/>
          <w:lang w:val="en-GB"/>
        </w:rPr>
        <w:t>unne (2016)</w:t>
      </w:r>
    </w:hyperlink>
    <w:r>
      <w:rPr>
        <w:sz w:val="20"/>
        <w:lang w:val="en-GB"/>
      </w:rPr>
      <w:t xml:space="preserve">. For more information, visit </w:t>
    </w:r>
    <w:hyperlink r:id="rId2" w:history="1">
      <w:r>
        <w:rPr>
          <w:rStyle w:val="Hyperlink"/>
          <w:sz w:val="20"/>
          <w:lang w:val="en-GB"/>
        </w:rPr>
        <w:t>https://www.co-micc.eu/about/our-approach/</w:t>
      </w:r>
    </w:hyperlink>
    <w:r>
      <w:rPr>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8F64" w14:textId="77777777" w:rsidR="007026D6" w:rsidRDefault="007026D6">
      <w:pPr>
        <w:spacing w:after="0" w:line="240" w:lineRule="auto"/>
      </w:pPr>
      <w:r>
        <w:separator/>
      </w:r>
    </w:p>
  </w:footnote>
  <w:footnote w:type="continuationSeparator" w:id="0">
    <w:p w14:paraId="41AF93E0" w14:textId="77777777" w:rsidR="007026D6" w:rsidRDefault="0070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F22"/>
    <w:multiLevelType w:val="multilevel"/>
    <w:tmpl w:val="B1549B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B16F5"/>
    <w:multiLevelType w:val="hybridMultilevel"/>
    <w:tmpl w:val="891686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2268B9"/>
    <w:multiLevelType w:val="hybridMultilevel"/>
    <w:tmpl w:val="72B8907E"/>
    <w:lvl w:ilvl="0" w:tplc="0BB67F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2222F"/>
    <w:multiLevelType w:val="hybridMultilevel"/>
    <w:tmpl w:val="0E38CA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45EF6"/>
    <w:multiLevelType w:val="hybridMultilevel"/>
    <w:tmpl w:val="B5480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AF205B"/>
    <w:multiLevelType w:val="hybridMultilevel"/>
    <w:tmpl w:val="BADC0B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8C5408"/>
    <w:multiLevelType w:val="hybridMultilevel"/>
    <w:tmpl w:val="D0F4CA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2741AB"/>
    <w:multiLevelType w:val="hybridMultilevel"/>
    <w:tmpl w:val="E6A607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3F6680"/>
    <w:multiLevelType w:val="hybridMultilevel"/>
    <w:tmpl w:val="CBCC10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5F35BE"/>
    <w:multiLevelType w:val="hybridMultilevel"/>
    <w:tmpl w:val="B5480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1C5FA1"/>
    <w:multiLevelType w:val="hybridMultilevel"/>
    <w:tmpl w:val="C4B019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1"/>
  </w:num>
  <w:num w:numId="6">
    <w:abstractNumId w:val="7"/>
  </w:num>
  <w:num w:numId="7">
    <w:abstractNumId w:val="6"/>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EF"/>
    <w:rsid w:val="00004260"/>
    <w:rsid w:val="0006023E"/>
    <w:rsid w:val="000911EF"/>
    <w:rsid w:val="000A6F39"/>
    <w:rsid w:val="00147B8B"/>
    <w:rsid w:val="00153F48"/>
    <w:rsid w:val="001834C3"/>
    <w:rsid w:val="00293BB0"/>
    <w:rsid w:val="002C737C"/>
    <w:rsid w:val="002D60C1"/>
    <w:rsid w:val="003A05DC"/>
    <w:rsid w:val="003F17CE"/>
    <w:rsid w:val="006471E6"/>
    <w:rsid w:val="00677453"/>
    <w:rsid w:val="006A5C07"/>
    <w:rsid w:val="007026D6"/>
    <w:rsid w:val="007220DA"/>
    <w:rsid w:val="00827FB0"/>
    <w:rsid w:val="008B4830"/>
    <w:rsid w:val="008C605C"/>
    <w:rsid w:val="00912DCE"/>
    <w:rsid w:val="00AA2305"/>
    <w:rsid w:val="00AF538B"/>
    <w:rsid w:val="00B01F8B"/>
    <w:rsid w:val="00BA7E47"/>
    <w:rsid w:val="00BE1F3A"/>
    <w:rsid w:val="00D530F9"/>
    <w:rsid w:val="00D7226C"/>
    <w:rsid w:val="00DA6533"/>
    <w:rsid w:val="00DF5FD0"/>
    <w:rsid w:val="00E521AC"/>
    <w:rsid w:val="00F2115C"/>
    <w:rsid w:val="00F30E4E"/>
    <w:rsid w:val="00FF7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4240"/>
  <w15:chartTrackingRefBased/>
  <w15:docId w15:val="{54A9AD84-EC1F-4886-BD62-F3E2A14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aption">
    <w:name w:val="caption"/>
    <w:basedOn w:val="Normal"/>
    <w:next w:val="Normal"/>
    <w:uiPriority w:val="35"/>
    <w:unhideWhenUsed/>
    <w:qFormat/>
    <w:rsid w:val="00D7226C"/>
    <w:pPr>
      <w:spacing w:after="200" w:line="240" w:lineRule="auto"/>
    </w:pPr>
    <w:rPr>
      <w:iCs/>
      <w:color w:val="44546A" w:themeColor="text2"/>
      <w:sz w:val="20"/>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52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pscience.iop.org/article/10.1088/1748-9326/aa9938/meta"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wrgc@bafg.de"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s://www.co-micc.eu/about/our-approach/" TargetMode="External"/><Relationship Id="rId1" Type="http://schemas.openxmlformats.org/officeDocument/2006/relationships/hyperlink" Target="https://www.nature.com/articles/nclimate304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831</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Bundesanstalt für Gewässerkunde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Caceres, Denise, ICWRGC, B40</dc:creator>
  <cp:keywords/>
  <dc:description/>
  <cp:lastModifiedBy>Denise Caceres</cp:lastModifiedBy>
  <cp:revision>39</cp:revision>
  <dcterms:created xsi:type="dcterms:W3CDTF">2021-12-01T13:02:00Z</dcterms:created>
  <dcterms:modified xsi:type="dcterms:W3CDTF">2021-12-01T14:08:00Z</dcterms:modified>
</cp:coreProperties>
</file>